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rFonts w:hint="default"/>
          <w:b/>
          <w:kern w:val="2"/>
          <w:lang w:val="en-US" w:eastAsia="zh-CN"/>
        </w:rPr>
      </w:pPr>
      <w:r>
        <w:rPr>
          <w:b/>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w:t>
      </w:r>
      <w:r>
        <w:rPr>
          <w:rFonts w:hint="eastAsia"/>
          <w:b/>
          <w:kern w:val="2"/>
          <w:lang w:eastAsia="zh-CN"/>
        </w:rPr>
        <w:t>-</w:t>
      </w:r>
      <w:r>
        <w:rPr>
          <w:b/>
          <w:kern w:val="2"/>
          <w:lang w:eastAsia="zh-CN"/>
        </w:rPr>
        <w:t>RAN WG1 Meeting #113</w:t>
      </w:r>
      <w:r>
        <w:rPr>
          <w:b/>
          <w:kern w:val="2"/>
          <w:lang w:eastAsia="zh-CN"/>
        </w:rPr>
        <w:tab/>
      </w:r>
      <w:bookmarkStart w:id="0" w:name="OLE_LINK124"/>
      <w:r>
        <w:rPr>
          <w:b/>
          <w:kern w:val="2"/>
          <w:lang w:eastAsia="zh-CN"/>
        </w:rPr>
        <w:t>R1-23059</w:t>
      </w:r>
      <w:r>
        <w:rPr>
          <w:rFonts w:hint="eastAsia"/>
          <w:b/>
          <w:kern w:val="2"/>
          <w:lang w:val="en-US" w:eastAsia="zh-CN"/>
        </w:rPr>
        <w:t>64</w:t>
      </w:r>
      <w:bookmarkStart w:id="18" w:name="_GoBack"/>
      <w:bookmarkEnd w:id="18"/>
    </w:p>
    <w:p>
      <w:pPr>
        <w:tabs>
          <w:tab w:val="right" w:pos="9216"/>
        </w:tabs>
        <w:spacing w:afterLines="50"/>
        <w:jc w:val="left"/>
        <w:rPr>
          <w:b/>
          <w:kern w:val="2"/>
          <w:lang w:eastAsia="zh-CN"/>
        </w:rPr>
      </w:pPr>
      <w:r>
        <w:rPr>
          <w:b/>
          <w:kern w:val="2"/>
          <w:lang w:eastAsia="zh-CN"/>
        </w:rPr>
        <w:t>Incheon, Korea, 22 – 26 May</w:t>
      </w:r>
      <w:r>
        <w:rPr>
          <w:rFonts w:hint="eastAsia"/>
          <w:b/>
          <w:kern w:val="2"/>
          <w:lang w:eastAsia="zh-CN"/>
        </w:rPr>
        <w:t>,</w:t>
      </w:r>
      <w:r>
        <w:rPr>
          <w:b/>
          <w:kern w:val="2"/>
          <w:lang w:eastAsia="zh-CN"/>
        </w:rPr>
        <w:t xml:space="preserve"> 202</w:t>
      </w:r>
      <w:bookmarkEnd w:id="0"/>
      <w:r>
        <w:rPr>
          <w:b/>
          <w:kern w:val="2"/>
          <w:lang w:eastAsia="zh-CN"/>
        </w:rPr>
        <w:t>3</w:t>
      </w:r>
    </w:p>
    <w:p>
      <w:pPr>
        <w:pBdr>
          <w:top w:val="single" w:color="auto" w:sz="4" w:space="1"/>
        </w:pBdr>
        <w:spacing w:after="0"/>
        <w:jc w:val="left"/>
        <w:rPr>
          <w:b/>
          <w:kern w:val="2"/>
          <w:sz w:val="16"/>
          <w:szCs w:val="16"/>
          <w:lang w:eastAsia="zh-CN"/>
        </w:rPr>
      </w:pPr>
    </w:p>
    <w:p>
      <w:pPr>
        <w:spacing w:after="60"/>
        <w:ind w:left="1555" w:hanging="1555"/>
        <w:jc w:val="left"/>
        <w:rPr>
          <w:b/>
          <w:kern w:val="2"/>
          <w:lang w:eastAsia="zh-CN"/>
        </w:rPr>
      </w:pPr>
      <w:r>
        <w:rPr>
          <w:b/>
          <w:kern w:val="2"/>
          <w:lang w:eastAsia="zh-CN"/>
        </w:rPr>
        <w:t>Agenda Item:</w:t>
      </w:r>
      <w:r>
        <w:rPr>
          <w:b/>
          <w:kern w:val="2"/>
          <w:lang w:eastAsia="zh-CN"/>
        </w:rPr>
        <w:tab/>
      </w:r>
      <w:r>
        <w:rPr>
          <w:b/>
          <w:kern w:val="2"/>
          <w:lang w:eastAsia="zh-CN"/>
        </w:rPr>
        <w:t>9.15</w:t>
      </w:r>
    </w:p>
    <w:p>
      <w:pPr>
        <w:spacing w:after="60"/>
        <w:ind w:left="1555" w:hanging="1555"/>
        <w:jc w:val="left"/>
        <w:rPr>
          <w:rFonts w:hint="default"/>
          <w:b/>
          <w:kern w:val="2"/>
          <w:lang w:val="en-US" w:eastAsia="zh-CN"/>
        </w:rPr>
      </w:pPr>
      <w:r>
        <w:rPr>
          <w:b/>
          <w:kern w:val="2"/>
          <w:lang w:eastAsia="zh-CN"/>
        </w:rPr>
        <w:t>Source:</w:t>
      </w:r>
      <w:r>
        <w:rPr>
          <w:b/>
          <w:kern w:val="2"/>
          <w:lang w:eastAsia="zh-CN"/>
        </w:rPr>
        <w:tab/>
      </w:r>
      <w:r>
        <w:rPr>
          <w:b/>
          <w:kern w:val="2"/>
          <w:lang w:eastAsia="zh-CN"/>
        </w:rPr>
        <w:t>CBN, China Telecom, China Unicom, CATT</w:t>
      </w:r>
      <w:r>
        <w:rPr>
          <w:rFonts w:hint="eastAsia"/>
          <w:b/>
          <w:kern w:val="2"/>
          <w:lang w:eastAsia="zh-CN"/>
        </w:rPr>
        <w:t>,</w:t>
      </w:r>
      <w:r>
        <w:rPr>
          <w:b/>
          <w:kern w:val="2"/>
          <w:lang w:eastAsia="zh-CN"/>
        </w:rPr>
        <w:t xml:space="preserve"> Huawei, HiSilicon</w:t>
      </w:r>
      <w:r>
        <w:rPr>
          <w:rFonts w:hint="eastAsia"/>
          <w:b/>
          <w:kern w:val="2"/>
          <w:lang w:val="en-US" w:eastAsia="zh-CN"/>
        </w:rPr>
        <w:t>, ZTE, Sanechips</w:t>
      </w:r>
    </w:p>
    <w:p>
      <w:pPr>
        <w:spacing w:after="60"/>
        <w:ind w:left="1555" w:hanging="1555"/>
        <w:jc w:val="left"/>
        <w:rPr>
          <w:b/>
          <w:kern w:val="2"/>
          <w:lang w:eastAsia="zh-CN"/>
        </w:rPr>
      </w:pPr>
      <w:r>
        <w:rPr>
          <w:b/>
          <w:kern w:val="2"/>
          <w:lang w:eastAsia="zh-CN"/>
        </w:rPr>
        <w:t>Title:</w:t>
      </w:r>
      <w:r>
        <w:rPr>
          <w:b/>
          <w:kern w:val="2"/>
          <w:lang w:eastAsia="zh-CN"/>
        </w:rPr>
        <w:tab/>
      </w:r>
      <w:r>
        <w:rPr>
          <w:b/>
          <w:kern w:val="2"/>
          <w:lang w:eastAsia="zh-CN"/>
        </w:rPr>
        <w:t>Rel-18 TEI proposal on eCP support for NR MBS</w:t>
      </w:r>
    </w:p>
    <w:p>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Discussion and Decision</w:t>
      </w:r>
    </w:p>
    <w:p>
      <w:pPr>
        <w:pBdr>
          <w:bottom w:val="single" w:color="auto" w:sz="4" w:space="1"/>
        </w:pBdr>
        <w:spacing w:after="0"/>
        <w:jc w:val="left"/>
        <w:rPr>
          <w:b/>
          <w:kern w:val="2"/>
          <w:sz w:val="16"/>
          <w:szCs w:val="16"/>
          <w:lang w:eastAsia="zh-CN"/>
        </w:rPr>
      </w:pPr>
    </w:p>
    <w:p>
      <w:pPr>
        <w:pStyle w:val="2"/>
      </w:pPr>
      <w:bookmarkStart w:id="1" w:name="_Ref124589705"/>
      <w:bookmarkStart w:id="2" w:name="_Ref129681862"/>
      <w:r>
        <w:t>Introduction</w:t>
      </w:r>
      <w:bookmarkEnd w:id="1"/>
      <w:bookmarkEnd w:id="2"/>
    </w:p>
    <w:p>
      <w:pPr>
        <w:rPr>
          <w:lang w:eastAsia="zh-CN"/>
        </w:rPr>
      </w:pPr>
      <w:r>
        <w:rPr>
          <w:lang w:eastAsia="zh-CN"/>
        </w:rPr>
        <w:t xml:space="preserve">For the MBS feature frozen in Rel-17 and the enhanced MBS in the on-gong Rel-18 work item, the frame work is based on the supported numerologies and the CP types (normal, extended) as defined in Table 4.2-1 in TS 38.211 </w:t>
      </w:r>
      <w:r>
        <w:rPr>
          <w:lang w:eastAsia="zh-CN"/>
        </w:rPr>
        <w:fldChar w:fldCharType="begin"/>
      </w:r>
      <w:r>
        <w:rPr>
          <w:lang w:eastAsia="zh-CN"/>
        </w:rPr>
        <w:instrText xml:space="preserve"> REF _Ref129623425 \n \h </w:instrText>
      </w:r>
      <w:r>
        <w:rPr>
          <w:lang w:eastAsia="zh-CN"/>
        </w:rPr>
        <w:fldChar w:fldCharType="separate"/>
      </w:r>
      <w:r>
        <w:rPr>
          <w:lang w:eastAsia="zh-CN"/>
        </w:rPr>
        <w:t>[1]</w:t>
      </w:r>
      <w:r>
        <w:rPr>
          <w:lang w:eastAsia="zh-CN"/>
        </w:rPr>
        <w:fldChar w:fldCharType="end"/>
      </w:r>
      <w:r>
        <w:rPr>
          <w:lang w:eastAsia="zh-CN"/>
        </w:rPr>
        <w:t xml:space="preserve">. Therefore, although the SFN transmission scheme for MBS broadcast and multicast can be supported, while the reachable coverage is limited by the CP length. </w:t>
      </w:r>
    </w:p>
    <w:p>
      <w:pPr>
        <w:rPr>
          <w:lang w:eastAsia="zh-CN"/>
        </w:rPr>
      </w:pPr>
      <w:r>
        <w:rPr>
          <w:rFonts w:hint="eastAsia"/>
          <w:lang w:eastAsia="zh-CN"/>
        </w:rPr>
        <w:t>T</w:t>
      </w:r>
      <w:r>
        <w:rPr>
          <w:lang w:eastAsia="zh-CN"/>
        </w:rPr>
        <w:t xml:space="preserve">his paper provides the motivation and the feasibility of promoting a Rel-18 TEI on supporting ECP for the 15kHz and 30kHz subcarrier spacing. </w:t>
      </w:r>
    </w:p>
    <w:p>
      <w:pPr>
        <w:pStyle w:val="2"/>
        <w:rPr>
          <w:lang w:eastAsia="zh-CN"/>
        </w:rPr>
      </w:pPr>
      <w:bookmarkStart w:id="3" w:name="_Ref114732477"/>
      <w:r>
        <w:rPr>
          <w:rFonts w:hint="eastAsia"/>
          <w:lang w:eastAsia="zh-CN"/>
        </w:rPr>
        <w:t>Discussion</w:t>
      </w:r>
      <w:r>
        <w:rPr>
          <w:lang w:eastAsia="zh-CN"/>
        </w:rPr>
        <w:t>s on motivations</w:t>
      </w:r>
    </w:p>
    <w:p>
      <w:pPr>
        <w:rPr>
          <w:lang w:eastAsia="zh-CN"/>
        </w:rPr>
      </w:pPr>
      <w:r>
        <w:rPr>
          <w:rFonts w:hint="eastAsia"/>
          <w:lang w:eastAsia="zh-CN"/>
        </w:rPr>
        <w:t>F</w:t>
      </w:r>
      <w:r>
        <w:rPr>
          <w:lang w:eastAsia="zh-CN"/>
        </w:rPr>
        <w:t xml:space="preserve">or MBS broadcast and multicast, on one hand, a group of UEs are expected to receive the same contents but the UE may not be located in vicinity, e.g., some UEs are in cell center but other UEs are at cell edge, the larger the CP the larger the cell coverage. On the other hand, the UEs located at the cell edge can benefit from SFN transmission scheme in terms of improving the received SNR. </w:t>
      </w:r>
    </w:p>
    <w:p>
      <w:pPr>
        <w:rPr>
          <w:lang w:eastAsia="zh-CN"/>
        </w:rPr>
      </w:pPr>
      <w:r>
        <w:rPr>
          <w:lang w:eastAsia="zh-CN"/>
        </w:rPr>
        <w:t xml:space="preserve">However, the specification only allows normal CP for the 15kHz and 30kHz subcarrier spacing so far, which unnecessarily imposes the limits to the deployments of MBS with low spectral efficiency. </w:t>
      </w:r>
    </w:p>
    <w:p>
      <w:pPr>
        <w:rPr>
          <w:lang w:eastAsia="zh-CN"/>
        </w:rPr>
      </w:pPr>
      <w:r>
        <w:rPr>
          <w:rFonts w:hint="eastAsia"/>
          <w:lang w:eastAsia="zh-CN"/>
        </w:rPr>
        <w:t>S</w:t>
      </w:r>
      <w:r>
        <w:rPr>
          <w:lang w:eastAsia="zh-CN"/>
        </w:rPr>
        <w:t xml:space="preserve">upport of Extended CP has been motivated and discussed as in </w:t>
      </w:r>
      <w:r>
        <w:rPr>
          <w:lang w:eastAsia="zh-CN"/>
        </w:rPr>
        <w:fldChar w:fldCharType="begin"/>
      </w:r>
      <w:r>
        <w:rPr>
          <w:lang w:eastAsia="zh-CN"/>
        </w:rPr>
        <w:instrText xml:space="preserve"> REF _Ref135039442 \n \h </w:instrText>
      </w:r>
      <w:r>
        <w:rPr>
          <w:lang w:eastAsia="zh-CN"/>
        </w:rPr>
        <w:fldChar w:fldCharType="separate"/>
      </w:r>
      <w:r>
        <w:rPr>
          <w:lang w:eastAsia="zh-CN"/>
        </w:rPr>
        <w:t>[2]</w:t>
      </w:r>
      <w:r>
        <w:rPr>
          <w:lang w:eastAsia="zh-CN"/>
        </w:rPr>
        <w:fldChar w:fldCharType="end"/>
      </w:r>
      <w:r>
        <w:rPr>
          <w:lang w:eastAsia="zh-CN"/>
        </w:rPr>
        <w:t xml:space="preserve"> and </w:t>
      </w:r>
      <w:r>
        <w:rPr>
          <w:lang w:eastAsia="zh-CN"/>
        </w:rPr>
        <w:fldChar w:fldCharType="begin"/>
      </w:r>
      <w:r>
        <w:rPr>
          <w:lang w:eastAsia="zh-CN"/>
        </w:rPr>
        <w:instrText xml:space="preserve"> REF _Ref135039448 \n \h </w:instrText>
      </w:r>
      <w:r>
        <w:rPr>
          <w:lang w:eastAsia="zh-CN"/>
        </w:rPr>
        <w:fldChar w:fldCharType="separate"/>
      </w:r>
      <w:r>
        <w:rPr>
          <w:lang w:eastAsia="zh-CN"/>
        </w:rPr>
        <w:t>[3]</w:t>
      </w:r>
      <w:r>
        <w:rPr>
          <w:lang w:eastAsia="zh-CN"/>
        </w:rPr>
        <w:fldChar w:fldCharType="end"/>
      </w:r>
      <w:r>
        <w:rPr>
          <w:lang w:eastAsia="zh-CN"/>
        </w:rPr>
        <w:t xml:space="preserve"> when scoping Rel-18 but was precluded in the end due to leveraging several aspects including available TU and the proposed enhancements scope. </w:t>
      </w:r>
    </w:p>
    <w:p>
      <w:pPr>
        <w:rPr>
          <w:lang w:eastAsia="zh-CN"/>
        </w:rPr>
      </w:pPr>
      <w:bookmarkStart w:id="4" w:name="OLE_LINK1"/>
      <w:bookmarkStart w:id="5" w:name="OLE_LINK2"/>
      <w:r>
        <w:rPr>
          <w:rFonts w:hint="eastAsia"/>
          <w:b/>
          <w:i/>
          <w:lang w:eastAsia="zh-CN"/>
        </w:rPr>
        <w:t>O</w:t>
      </w:r>
      <w:r>
        <w:rPr>
          <w:b/>
          <w:i/>
          <w:lang w:eastAsia="zh-CN"/>
        </w:rPr>
        <w:t>bservation 1: The specification allowing only normal CP for 15kHz and 30kHz subcarrier spacing unnecessarily imposes the limits to the deployments of MBS</w:t>
      </w:r>
      <w:r>
        <w:rPr>
          <w:lang w:eastAsia="zh-CN"/>
        </w:rPr>
        <w:t xml:space="preserve">. </w:t>
      </w:r>
    </w:p>
    <w:p>
      <w:pPr>
        <w:rPr>
          <w:lang w:eastAsia="zh-CN"/>
        </w:rPr>
      </w:pPr>
      <w:r>
        <w:rPr>
          <w:rFonts w:hint="eastAsia"/>
          <w:b/>
          <w:i/>
          <w:lang w:eastAsia="zh-CN"/>
        </w:rPr>
        <w:t>O</w:t>
      </w:r>
      <w:r>
        <w:rPr>
          <w:b/>
          <w:i/>
          <w:lang w:eastAsia="zh-CN"/>
        </w:rPr>
        <w:t>bservation 2: Extended CP can help improve the special efficiency for MBS transmission</w:t>
      </w:r>
      <w:r>
        <w:rPr>
          <w:lang w:eastAsia="zh-CN"/>
        </w:rPr>
        <w:t xml:space="preserve">. </w:t>
      </w:r>
    </w:p>
    <w:bookmarkEnd w:id="4"/>
    <w:bookmarkEnd w:id="5"/>
    <w:p>
      <w:pPr>
        <w:rPr>
          <w:lang w:eastAsia="zh-CN"/>
        </w:rPr>
      </w:pPr>
    </w:p>
    <w:p>
      <w:pPr>
        <w:pStyle w:val="2"/>
        <w:rPr>
          <w:lang w:eastAsia="zh-CN"/>
        </w:rPr>
      </w:pPr>
      <w:r>
        <w:rPr>
          <w:lang w:eastAsia="zh-CN"/>
        </w:rPr>
        <w:t>Feasibility for a TEI</w:t>
      </w:r>
    </w:p>
    <w:p>
      <w:pPr>
        <w:rPr>
          <w:lang w:eastAsia="zh-CN"/>
        </w:rPr>
      </w:pPr>
      <w:r>
        <w:rPr>
          <w:rFonts w:hint="eastAsia"/>
          <w:lang w:eastAsia="zh-CN"/>
        </w:rPr>
        <w:t>F</w:t>
      </w:r>
      <w:r>
        <w:rPr>
          <w:lang w:eastAsia="zh-CN"/>
        </w:rPr>
        <w:t xml:space="preserve">or supporting the extended CP for the 15kHz and 30kHz subcarrier spacing, the specification impact is mainly in RAN1 and the change is minor. </w:t>
      </w:r>
    </w:p>
    <w:p>
      <w:pPr>
        <w:rPr>
          <w:lang w:eastAsia="zh-CN"/>
        </w:rPr>
      </w:pPr>
      <w:r>
        <w:rPr>
          <w:rFonts w:hint="eastAsia"/>
          <w:lang w:eastAsia="zh-CN"/>
        </w:rPr>
        <w:t>F</w:t>
      </w:r>
      <w:r>
        <w:rPr>
          <w:lang w:eastAsia="zh-CN"/>
        </w:rPr>
        <w:t>or example, all the changes envisioned are as follows:</w:t>
      </w:r>
    </w:p>
    <w:p>
      <w:pPr>
        <w:rPr>
          <w:b/>
          <w:i/>
          <w:u w:val="single"/>
          <w:lang w:eastAsia="zh-CN"/>
        </w:rPr>
      </w:pPr>
      <w:r>
        <w:rPr>
          <w:b/>
          <w:i/>
          <w:u w:val="single"/>
          <w:lang w:eastAsia="zh-CN"/>
        </w:rPr>
        <w:t xml:space="preserve">Changes to TS38.211 </w:t>
      </w:r>
      <w:r>
        <w:rPr>
          <w:b/>
          <w:i/>
          <w:u w:val="single"/>
          <w:lang w:eastAsia="zh-CN"/>
        </w:rPr>
        <w:fldChar w:fldCharType="begin"/>
      </w:r>
      <w:r>
        <w:rPr>
          <w:b/>
          <w:i/>
          <w:u w:val="single"/>
          <w:lang w:eastAsia="zh-CN"/>
        </w:rPr>
        <w:instrText xml:space="preserve"> REF _Ref129623425 \n \h </w:instrText>
      </w:r>
      <w:r>
        <w:rPr>
          <w:b/>
          <w:i/>
          <w:u w:val="single"/>
          <w:lang w:eastAsia="zh-CN"/>
        </w:rPr>
        <w:fldChar w:fldCharType="separate"/>
      </w:r>
      <w:r>
        <w:rPr>
          <w:b/>
          <w:i/>
          <w:u w:val="single"/>
          <w:lang w:eastAsia="zh-CN"/>
        </w:rPr>
        <w:t>[1]</w:t>
      </w:r>
      <w:r>
        <w:rPr>
          <w:b/>
          <w:i/>
          <w:u w:val="single"/>
          <w:lang w:eastAsia="zh-CN"/>
        </w:rPr>
        <w:fldChar w:fldCharType="end"/>
      </w:r>
    </w:p>
    <w:p>
      <w:pPr>
        <w:rPr>
          <w:iCs/>
          <w:lang w:val="en-GB" w:eastAsia="zh-CN"/>
        </w:rPr>
      </w:pPr>
      <w:r>
        <w:rPr>
          <w:rFonts w:hint="eastAsia"/>
          <w:iCs/>
          <w:lang w:val="en-GB" w:eastAsia="zh-CN"/>
        </w:rPr>
        <w:t>T</w:t>
      </w:r>
      <w:r>
        <w:rPr>
          <w:iCs/>
          <w:lang w:val="en-GB" w:eastAsia="zh-CN"/>
        </w:rPr>
        <w:t xml:space="preserve">he changes needed to TS38.211 are to the following tables as highlighted in </w:t>
      </w:r>
      <w:r>
        <w:rPr>
          <w:iCs/>
          <w:color w:val="FF0000"/>
          <w:lang w:val="en-GB" w:eastAsia="zh-CN"/>
        </w:rPr>
        <w:t xml:space="preserve">red </w:t>
      </w:r>
      <w:r>
        <w:rPr>
          <w:iCs/>
          <w:lang w:val="en-GB" w:eastAsia="zh-CN"/>
        </w:rPr>
        <w:t>fonts:</w:t>
      </w:r>
    </w:p>
    <w:p>
      <w:pPr>
        <w:jc w:val="center"/>
        <w:rPr>
          <w:b/>
          <w:iCs/>
          <w:lang w:val="en-GB" w:eastAsia="zh-CN"/>
        </w:rPr>
      </w:pPr>
      <w:r>
        <w:rPr>
          <w:b/>
        </w:rPr>
        <w:t>Table 4.2-1: Supported transmission numerologies.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vAlign w:val="center"/>
          </w:tcPr>
          <w:p>
            <w:pPr>
              <w:pStyle w:val="65"/>
              <w:rPr>
                <w:rFonts w:eastAsia="Batang"/>
              </w:rPr>
            </w:pPr>
            <w:r>
              <w:rPr>
                <w:rFonts w:eastAsia="Batang"/>
                <w:position w:val="-10"/>
              </w:rPr>
              <w:object>
                <v:shape id="_x0000_i1025" o:spt="75" type="#_x0000_t75" style="height:13.5pt;width:12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tc>
        <w:tc>
          <w:tcPr>
            <w:tcW w:w="1843" w:type="dxa"/>
            <w:shd w:val="clear" w:color="auto" w:fill="auto"/>
            <w:vAlign w:val="center"/>
          </w:tcPr>
          <w:p>
            <w:pPr>
              <w:pStyle w:val="65"/>
              <w:rPr>
                <w:rFonts w:eastAsia="Batang"/>
              </w:rPr>
            </w:pPr>
            <w:r>
              <w:rPr>
                <w:rFonts w:eastAsia="Batang"/>
                <w:position w:val="-10"/>
              </w:rPr>
              <w:object>
                <v:shape id="_x0000_i1026" o:spt="75" type="#_x0000_t75" style="height:17.5pt;width:7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p>
        </w:tc>
        <w:tc>
          <w:tcPr>
            <w:tcW w:w="1843" w:type="dxa"/>
            <w:vAlign w:val="center"/>
          </w:tcPr>
          <w:p>
            <w:pPr>
              <w:pStyle w:val="65"/>
              <w:rPr>
                <w:rFonts w:eastAsia="Batang"/>
              </w:rPr>
            </w:pPr>
            <w:r>
              <w:rPr>
                <w:rFonts w:eastAsia="Batang"/>
              </w:rPr>
              <w:t>Cyclic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66"/>
              <w:rPr>
                <w:rFonts w:eastAsia="Batang"/>
              </w:rPr>
            </w:pPr>
            <w:r>
              <w:rPr>
                <w:rFonts w:eastAsia="Batang"/>
              </w:rPr>
              <w:t>0</w:t>
            </w:r>
          </w:p>
        </w:tc>
        <w:tc>
          <w:tcPr>
            <w:tcW w:w="1843" w:type="dxa"/>
            <w:shd w:val="clear" w:color="auto" w:fill="auto"/>
          </w:tcPr>
          <w:p>
            <w:pPr>
              <w:pStyle w:val="66"/>
              <w:rPr>
                <w:rFonts w:eastAsia="Batang"/>
              </w:rPr>
            </w:pPr>
            <w:r>
              <w:rPr>
                <w:rFonts w:eastAsia="Batang"/>
              </w:rPr>
              <w:t>15</w:t>
            </w:r>
          </w:p>
        </w:tc>
        <w:tc>
          <w:tcPr>
            <w:tcW w:w="1843" w:type="dxa"/>
          </w:tcPr>
          <w:p>
            <w:pPr>
              <w:pStyle w:val="66"/>
              <w:jc w:val="left"/>
              <w:rPr>
                <w:rFonts w:eastAsia="Batang"/>
              </w:rPr>
            </w:pPr>
            <w:r>
              <w:rPr>
                <w:rFonts w:eastAsia="Batang"/>
              </w:rPr>
              <w:t>Normal</w:t>
            </w:r>
            <w:r>
              <w:rPr>
                <w:rFonts w:eastAsia="Batang"/>
                <w:color w:val="FF0000"/>
                <w:lang w:val="en-US"/>
              </w:rPr>
              <w:t>, Extended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66"/>
              <w:rPr>
                <w:rFonts w:eastAsia="Batang"/>
              </w:rPr>
            </w:pPr>
            <w:r>
              <w:rPr>
                <w:rFonts w:eastAsia="Batang"/>
              </w:rPr>
              <w:t>1</w:t>
            </w:r>
          </w:p>
        </w:tc>
        <w:tc>
          <w:tcPr>
            <w:tcW w:w="1843" w:type="dxa"/>
            <w:shd w:val="clear" w:color="auto" w:fill="auto"/>
          </w:tcPr>
          <w:p>
            <w:pPr>
              <w:pStyle w:val="66"/>
              <w:rPr>
                <w:rFonts w:eastAsia="Batang"/>
              </w:rPr>
            </w:pPr>
            <w:r>
              <w:rPr>
                <w:rFonts w:eastAsia="Batang"/>
              </w:rPr>
              <w:t>30</w:t>
            </w:r>
          </w:p>
        </w:tc>
        <w:tc>
          <w:tcPr>
            <w:tcW w:w="1843" w:type="dxa"/>
          </w:tcPr>
          <w:p>
            <w:pPr>
              <w:pStyle w:val="66"/>
              <w:jc w:val="left"/>
              <w:rPr>
                <w:rFonts w:eastAsia="Batang"/>
              </w:rPr>
            </w:pPr>
            <w:r>
              <w:rPr>
                <w:rFonts w:eastAsia="Batang"/>
              </w:rPr>
              <w:t>Normal</w:t>
            </w:r>
            <w:r>
              <w:rPr>
                <w:rFonts w:eastAsia="Batang"/>
                <w:color w:val="FF0000"/>
                <w:lang w:val="en-US"/>
              </w:rPr>
              <w:t>, Extended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66"/>
              <w:rPr>
                <w:rFonts w:eastAsia="Batang"/>
              </w:rPr>
            </w:pPr>
            <w:r>
              <w:rPr>
                <w:rFonts w:eastAsia="Batang"/>
              </w:rPr>
              <w:t>2</w:t>
            </w:r>
          </w:p>
        </w:tc>
        <w:tc>
          <w:tcPr>
            <w:tcW w:w="1843" w:type="dxa"/>
            <w:shd w:val="clear" w:color="auto" w:fill="auto"/>
          </w:tcPr>
          <w:p>
            <w:pPr>
              <w:pStyle w:val="66"/>
              <w:rPr>
                <w:rFonts w:eastAsia="Batang"/>
              </w:rPr>
            </w:pPr>
            <w:r>
              <w:rPr>
                <w:rFonts w:eastAsia="Batang"/>
              </w:rPr>
              <w:t>60</w:t>
            </w:r>
          </w:p>
        </w:tc>
        <w:tc>
          <w:tcPr>
            <w:tcW w:w="1843" w:type="dxa"/>
          </w:tcPr>
          <w:p>
            <w:pPr>
              <w:pStyle w:val="66"/>
              <w:jc w:val="left"/>
              <w:rPr>
                <w:rFonts w:eastAsia="Batang"/>
              </w:rPr>
            </w:pPr>
            <w:r>
              <w:rPr>
                <w:rFonts w:eastAsia="Batang"/>
              </w:rPr>
              <w:t>Normal, Extended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66"/>
              <w:rPr>
                <w:rFonts w:eastAsia="Batang"/>
              </w:rPr>
            </w:pPr>
            <w:r>
              <w:rPr>
                <w:rFonts w:eastAsia="Batang"/>
              </w:rPr>
              <w:t>3</w:t>
            </w:r>
          </w:p>
        </w:tc>
        <w:tc>
          <w:tcPr>
            <w:tcW w:w="1843" w:type="dxa"/>
            <w:shd w:val="clear" w:color="auto" w:fill="auto"/>
          </w:tcPr>
          <w:p>
            <w:pPr>
              <w:pStyle w:val="66"/>
              <w:rPr>
                <w:rFonts w:eastAsia="Batang"/>
              </w:rPr>
            </w:pPr>
            <w:r>
              <w:rPr>
                <w:rFonts w:eastAsia="Batang"/>
              </w:rPr>
              <w:t>120</w:t>
            </w:r>
          </w:p>
        </w:tc>
        <w:tc>
          <w:tcPr>
            <w:tcW w:w="1843" w:type="dxa"/>
          </w:tcPr>
          <w:p>
            <w:pPr>
              <w:pStyle w:val="66"/>
              <w:jc w:val="left"/>
              <w:rPr>
                <w:rFonts w:eastAsia="Batang"/>
              </w:rPr>
            </w:pPr>
            <w:r>
              <w:rPr>
                <w:rFonts w:eastAsia="Batang"/>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66"/>
              <w:rPr>
                <w:rFonts w:eastAsia="Batang"/>
              </w:rPr>
            </w:pPr>
            <w:r>
              <w:rPr>
                <w:rFonts w:eastAsia="Batang"/>
              </w:rPr>
              <w:t>4</w:t>
            </w:r>
          </w:p>
        </w:tc>
        <w:tc>
          <w:tcPr>
            <w:tcW w:w="1843" w:type="dxa"/>
            <w:shd w:val="clear" w:color="auto" w:fill="auto"/>
          </w:tcPr>
          <w:p>
            <w:pPr>
              <w:pStyle w:val="66"/>
              <w:rPr>
                <w:rFonts w:eastAsia="Batang"/>
              </w:rPr>
            </w:pPr>
            <w:r>
              <w:rPr>
                <w:rFonts w:eastAsia="Batang"/>
              </w:rPr>
              <w:t>240</w:t>
            </w:r>
          </w:p>
        </w:tc>
        <w:tc>
          <w:tcPr>
            <w:tcW w:w="1843" w:type="dxa"/>
          </w:tcPr>
          <w:p>
            <w:pPr>
              <w:pStyle w:val="66"/>
              <w:jc w:val="left"/>
              <w:rPr>
                <w:rFonts w:eastAsia="Batang"/>
              </w:rPr>
            </w:pPr>
            <w:r>
              <w:rPr>
                <w:rFonts w:eastAsia="Batang"/>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auto"/>
          </w:tcPr>
          <w:p>
            <w:pPr>
              <w:pStyle w:val="66"/>
              <w:rPr>
                <w:rFonts w:eastAsia="Batang"/>
              </w:rPr>
            </w:pPr>
            <w:r>
              <w:rPr>
                <w:rFonts w:eastAsia="Batang"/>
              </w:rPr>
              <w:t>5</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pStyle w:val="66"/>
              <w:rPr>
                <w:rFonts w:eastAsia="Batang"/>
              </w:rPr>
            </w:pPr>
            <w:r>
              <w:rPr>
                <w:rFonts w:eastAsia="Batang"/>
              </w:rPr>
              <w:t>480</w:t>
            </w:r>
          </w:p>
        </w:tc>
        <w:tc>
          <w:tcPr>
            <w:tcW w:w="1843" w:type="dxa"/>
            <w:tcBorders>
              <w:top w:val="single" w:color="auto" w:sz="4" w:space="0"/>
              <w:left w:val="single" w:color="auto" w:sz="4" w:space="0"/>
              <w:bottom w:val="single" w:color="auto" w:sz="4" w:space="0"/>
              <w:right w:val="single" w:color="auto" w:sz="4" w:space="0"/>
            </w:tcBorders>
          </w:tcPr>
          <w:p>
            <w:pPr>
              <w:pStyle w:val="66"/>
              <w:jc w:val="left"/>
              <w:rPr>
                <w:rFonts w:eastAsia="Batang"/>
              </w:rPr>
            </w:pPr>
            <w:r>
              <w:rPr>
                <w:rFonts w:eastAsia="Batang"/>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auto"/>
          </w:tcPr>
          <w:p>
            <w:pPr>
              <w:pStyle w:val="66"/>
              <w:rPr>
                <w:rFonts w:eastAsia="Batang"/>
              </w:rPr>
            </w:pPr>
            <w:r>
              <w:rPr>
                <w:rFonts w:eastAsia="Batang"/>
              </w:rPr>
              <w:t>6</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pStyle w:val="66"/>
              <w:rPr>
                <w:rFonts w:eastAsia="Batang"/>
              </w:rPr>
            </w:pPr>
            <w:r>
              <w:rPr>
                <w:rFonts w:eastAsia="Batang"/>
              </w:rPr>
              <w:t>960</w:t>
            </w:r>
          </w:p>
        </w:tc>
        <w:tc>
          <w:tcPr>
            <w:tcW w:w="1843" w:type="dxa"/>
            <w:tcBorders>
              <w:top w:val="single" w:color="auto" w:sz="4" w:space="0"/>
              <w:left w:val="single" w:color="auto" w:sz="4" w:space="0"/>
              <w:bottom w:val="single" w:color="auto" w:sz="4" w:space="0"/>
              <w:right w:val="single" w:color="auto" w:sz="4" w:space="0"/>
            </w:tcBorders>
          </w:tcPr>
          <w:p>
            <w:pPr>
              <w:pStyle w:val="66"/>
              <w:jc w:val="left"/>
              <w:rPr>
                <w:rFonts w:eastAsia="Batang"/>
              </w:rPr>
            </w:pPr>
            <w:r>
              <w:rPr>
                <w:rFonts w:eastAsia="Batang"/>
              </w:rPr>
              <w:t>Normal</w:t>
            </w:r>
          </w:p>
        </w:tc>
      </w:tr>
    </w:tbl>
    <w:p>
      <w:pPr>
        <w:rPr>
          <w:iCs/>
          <w:lang w:val="en-GB" w:eastAsia="zh-CN"/>
        </w:rPr>
      </w:pPr>
    </w:p>
    <w:p>
      <w:pPr>
        <w:jc w:val="center"/>
        <w:rPr>
          <w:iCs/>
          <w:lang w:val="en-GB" w:eastAsia="zh-CN"/>
        </w:rPr>
      </w:pPr>
      <w:r>
        <w:rPr>
          <w:b/>
          <w:iCs/>
          <w:lang w:val="en-GB" w:eastAsia="zh-CN"/>
        </w:rPr>
        <w:t>Table 4.3.2-2: Number of OFDM symbols per slot, slots per frame, and slots per subframe for extended cyclic prefix</w:t>
      </w:r>
      <w:r>
        <w:rPr>
          <w:iCs/>
          <w:lang w:val="en-GB" w:eastAsia="zh-CN"/>
        </w:rPr>
        <w: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416"/>
        <w:gridCol w:w="155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shd w:val="clear" w:color="auto" w:fill="auto"/>
            <w:vAlign w:val="center"/>
          </w:tcPr>
          <w:p>
            <w:pPr>
              <w:pStyle w:val="65"/>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pPr>
              <w:pStyle w:val="65"/>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ctrlPr>
                      <w:rPr>
                        <w:rFonts w:ascii="Cambria Math" w:hAnsi="Cambria Math"/>
                        <w:b w:val="0"/>
                        <w:i/>
                        <w:sz w:val="20"/>
                      </w:rPr>
                    </m:ctrlPr>
                  </m:e>
                  <m:sub>
                    <m:r>
                      <m:rPr>
                        <m:nor/>
                        <m:sty m:val="p"/>
                      </m:rPr>
                      <w:rPr>
                        <w:rFonts w:ascii="Cambria Math" w:hAnsi="Cambria Math"/>
                        <w:b w:val="0"/>
                        <w:i w:val="0"/>
                      </w:rPr>
                      <m:t>symb</m:t>
                    </m:r>
                    <m:ctrlPr>
                      <w:rPr>
                        <w:rFonts w:ascii="Cambria Math" w:hAnsi="Cambria Math"/>
                        <w:b w:val="0"/>
                        <w:i/>
                        <w:sz w:val="20"/>
                      </w:rPr>
                    </m:ctrlPr>
                  </m:sub>
                  <m:sup>
                    <m:r>
                      <m:rPr>
                        <m:nor/>
                        <m:sty m:val="p"/>
                      </m:rPr>
                      <w:rPr>
                        <w:rFonts w:ascii="Cambria Math" w:hAnsi="Cambria Math"/>
                        <w:b w:val="0"/>
                        <w:i w:val="0"/>
                      </w:rPr>
                      <m:t>slot</m:t>
                    </m:r>
                    <m:ctrlPr>
                      <w:rPr>
                        <w:rFonts w:ascii="Cambria Math" w:hAnsi="Cambria Math"/>
                        <w:b w:val="0"/>
                        <w:i/>
                        <w:sz w:val="20"/>
                      </w:rPr>
                    </m:ctrlPr>
                  </m:sup>
                </m:sSubSup>
              </m:oMath>
            </m:oMathPara>
          </w:p>
        </w:tc>
        <w:tc>
          <w:tcPr>
            <w:tcW w:w="1559" w:type="dxa"/>
            <w:shd w:val="clear" w:color="auto" w:fill="auto"/>
            <w:vAlign w:val="center"/>
          </w:tcPr>
          <w:p>
            <w:pPr>
              <w:pStyle w:val="65"/>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ctrlPr>
                      <w:rPr>
                        <w:rFonts w:ascii="Cambria Math" w:hAnsi="Cambria Math"/>
                        <w:b w:val="0"/>
                        <w:i/>
                        <w:sz w:val="20"/>
                      </w:rPr>
                    </m:ctrlPr>
                  </m:e>
                  <m:sub>
                    <m:r>
                      <m:rPr>
                        <m:nor/>
                        <m:sty m:val="p"/>
                      </m:rPr>
                      <w:rPr>
                        <w:rFonts w:ascii="Cambria Math" w:hAnsi="Cambria Math"/>
                        <w:b w:val="0"/>
                        <w:i w:val="0"/>
                      </w:rPr>
                      <m:t>slot</m:t>
                    </m:r>
                    <m:ctrlPr>
                      <w:rPr>
                        <w:rFonts w:ascii="Cambria Math" w:hAnsi="Cambria Math"/>
                        <w:b w:val="0"/>
                        <w:i/>
                        <w:sz w:val="20"/>
                      </w:rPr>
                    </m:ctrlPr>
                  </m:sub>
                  <m:sup>
                    <m:r>
                      <m:rPr>
                        <m:nor/>
                        <m:sty m:val="p"/>
                      </m:rPr>
                      <w:rPr>
                        <w:rFonts w:ascii="Cambria Math" w:hAnsi="Cambria Math"/>
                        <w:b w:val="0"/>
                        <w:i w:val="0"/>
                      </w:rPr>
                      <m:t>frame</m:t>
                    </m:r>
                    <m:r>
                      <m:rPr>
                        <m:sty m:val="bi"/>
                      </m:rPr>
                      <w:rPr>
                        <w:rFonts w:ascii="Cambria Math" w:hAnsi="Cambria Math"/>
                      </w:rPr>
                      <m:t>,μ</m:t>
                    </m:r>
                    <m:ctrlPr>
                      <w:rPr>
                        <w:rFonts w:ascii="Cambria Math" w:hAnsi="Cambria Math"/>
                        <w:b w:val="0"/>
                        <w:i/>
                        <w:sz w:val="20"/>
                      </w:rPr>
                    </m:ctrlPr>
                  </m:sup>
                </m:sSubSup>
              </m:oMath>
            </m:oMathPara>
          </w:p>
        </w:tc>
        <w:tc>
          <w:tcPr>
            <w:tcW w:w="1276" w:type="dxa"/>
            <w:shd w:val="clear" w:color="auto" w:fill="auto"/>
            <w:vAlign w:val="center"/>
          </w:tcPr>
          <w:p>
            <w:pPr>
              <w:pStyle w:val="65"/>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ctrlPr>
                      <w:rPr>
                        <w:rFonts w:ascii="Cambria Math" w:hAnsi="Cambria Math"/>
                        <w:b w:val="0"/>
                        <w:i/>
                        <w:sz w:val="20"/>
                      </w:rPr>
                    </m:ctrlPr>
                  </m:e>
                  <m:sub>
                    <m:r>
                      <m:rPr>
                        <m:nor/>
                        <m:sty m:val="p"/>
                      </m:rPr>
                      <w:rPr>
                        <w:rFonts w:ascii="Cambria Math" w:hAnsi="Cambria Math"/>
                        <w:b w:val="0"/>
                        <w:i w:val="0"/>
                      </w:rPr>
                      <m:t>slot</m:t>
                    </m:r>
                    <m:ctrlPr>
                      <w:rPr>
                        <w:rFonts w:ascii="Cambria Math" w:hAnsi="Cambria Math"/>
                        <w:b w:val="0"/>
                        <w:i/>
                        <w:sz w:val="20"/>
                      </w:rPr>
                    </m:ctrlPr>
                  </m:sub>
                  <m:sup>
                    <m:r>
                      <m:rPr>
                        <m:nor/>
                        <m:sty m:val="p"/>
                      </m:rPr>
                      <w:rPr>
                        <w:rFonts w:ascii="Cambria Math" w:hAnsi="Cambria Math"/>
                        <w:b w:val="0"/>
                        <w:i w:val="0"/>
                      </w:rPr>
                      <m:t>subframe</m:t>
                    </m:r>
                    <m:r>
                      <m:rPr>
                        <m:sty m:val="bi"/>
                      </m:rPr>
                      <w:rPr>
                        <w:rFonts w:ascii="Cambria Math" w:hAnsi="Cambria Math"/>
                      </w:rPr>
                      <m:t>,μ</m:t>
                    </m:r>
                    <m:ctrlPr>
                      <w:rPr>
                        <w:rFonts w:ascii="Cambria Math" w:hAnsi="Cambria Math"/>
                        <w:b w:val="0"/>
                        <w:i/>
                        <w:sz w:val="20"/>
                      </w:rPr>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shd w:val="clear" w:color="auto" w:fill="auto"/>
            <w:vAlign w:val="center"/>
          </w:tcPr>
          <w:p>
            <w:pPr>
              <w:pStyle w:val="65"/>
              <w:rPr>
                <w:rFonts w:ascii="Times New Roman" w:hAnsi="Times New Roman"/>
                <w:color w:val="FF0000"/>
                <w:lang w:eastAsia="zh-CN"/>
              </w:rPr>
            </w:pPr>
            <w:r>
              <w:rPr>
                <w:rFonts w:hint="eastAsia" w:ascii="Times New Roman" w:hAnsi="Times New Roman"/>
                <w:color w:val="FF0000"/>
                <w:lang w:eastAsia="zh-CN"/>
              </w:rPr>
              <w:t>0</w:t>
            </w:r>
          </w:p>
        </w:tc>
        <w:tc>
          <w:tcPr>
            <w:tcW w:w="1416" w:type="dxa"/>
            <w:shd w:val="clear" w:color="auto" w:fill="auto"/>
            <w:vAlign w:val="center"/>
          </w:tcPr>
          <w:p>
            <w:pPr>
              <w:pStyle w:val="65"/>
              <w:rPr>
                <w:rFonts w:eastAsiaTheme="minorEastAsia"/>
                <w:b w:val="0"/>
                <w:color w:val="FF0000"/>
                <w:sz w:val="20"/>
                <w:lang w:eastAsia="zh-CN"/>
              </w:rPr>
            </w:pPr>
            <w:r>
              <w:rPr>
                <w:rFonts w:hint="eastAsia" w:eastAsiaTheme="minorEastAsia"/>
                <w:b w:val="0"/>
                <w:color w:val="FF0000"/>
                <w:sz w:val="20"/>
                <w:lang w:eastAsia="zh-CN"/>
              </w:rPr>
              <w:t>12</w:t>
            </w:r>
          </w:p>
        </w:tc>
        <w:tc>
          <w:tcPr>
            <w:tcW w:w="1559" w:type="dxa"/>
            <w:shd w:val="clear" w:color="auto" w:fill="auto"/>
            <w:vAlign w:val="center"/>
          </w:tcPr>
          <w:p>
            <w:pPr>
              <w:pStyle w:val="65"/>
              <w:rPr>
                <w:rFonts w:eastAsiaTheme="minorEastAsia"/>
                <w:b w:val="0"/>
                <w:color w:val="FF0000"/>
                <w:sz w:val="20"/>
                <w:lang w:eastAsia="zh-CN"/>
              </w:rPr>
            </w:pPr>
            <w:r>
              <w:rPr>
                <w:rFonts w:hint="eastAsia" w:eastAsiaTheme="minorEastAsia"/>
                <w:b w:val="0"/>
                <w:color w:val="FF0000"/>
                <w:sz w:val="20"/>
                <w:lang w:eastAsia="zh-CN"/>
              </w:rPr>
              <w:t>1</w:t>
            </w:r>
            <w:r>
              <w:rPr>
                <w:rFonts w:eastAsiaTheme="minorEastAsia"/>
                <w:b w:val="0"/>
                <w:color w:val="FF0000"/>
                <w:sz w:val="20"/>
                <w:lang w:eastAsia="zh-CN"/>
              </w:rPr>
              <w:t>0</w:t>
            </w:r>
          </w:p>
        </w:tc>
        <w:tc>
          <w:tcPr>
            <w:tcW w:w="1276" w:type="dxa"/>
            <w:shd w:val="clear" w:color="auto" w:fill="auto"/>
            <w:vAlign w:val="center"/>
          </w:tcPr>
          <w:p>
            <w:pPr>
              <w:pStyle w:val="65"/>
              <w:rPr>
                <w:rFonts w:eastAsiaTheme="minorEastAsia"/>
                <w:b w:val="0"/>
                <w:color w:val="FF0000"/>
                <w:sz w:val="20"/>
                <w:lang w:eastAsia="zh-CN"/>
              </w:rPr>
            </w:pPr>
            <w:r>
              <w:rPr>
                <w:rFonts w:hint="eastAsia" w:eastAsiaTheme="minorEastAsia"/>
                <w:b w:val="0"/>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shd w:val="clear" w:color="auto" w:fill="auto"/>
            <w:vAlign w:val="center"/>
          </w:tcPr>
          <w:p>
            <w:pPr>
              <w:pStyle w:val="65"/>
              <w:rPr>
                <w:rFonts w:ascii="Times New Roman" w:hAnsi="Times New Roman"/>
                <w:color w:val="FF0000"/>
                <w:lang w:eastAsia="zh-CN"/>
              </w:rPr>
            </w:pPr>
            <w:r>
              <w:rPr>
                <w:rFonts w:hint="eastAsia" w:ascii="Times New Roman" w:hAnsi="Times New Roman"/>
                <w:color w:val="FF0000"/>
                <w:lang w:eastAsia="zh-CN"/>
              </w:rPr>
              <w:t>1</w:t>
            </w:r>
          </w:p>
        </w:tc>
        <w:tc>
          <w:tcPr>
            <w:tcW w:w="1416" w:type="dxa"/>
            <w:shd w:val="clear" w:color="auto" w:fill="auto"/>
            <w:vAlign w:val="center"/>
          </w:tcPr>
          <w:p>
            <w:pPr>
              <w:pStyle w:val="65"/>
              <w:rPr>
                <w:rFonts w:eastAsiaTheme="minorEastAsia"/>
                <w:b w:val="0"/>
                <w:color w:val="FF0000"/>
                <w:sz w:val="20"/>
                <w:lang w:eastAsia="zh-CN"/>
              </w:rPr>
            </w:pPr>
            <w:r>
              <w:rPr>
                <w:rFonts w:hint="eastAsia" w:eastAsiaTheme="minorEastAsia"/>
                <w:b w:val="0"/>
                <w:color w:val="FF0000"/>
                <w:sz w:val="20"/>
                <w:lang w:eastAsia="zh-CN"/>
              </w:rPr>
              <w:t>1</w:t>
            </w:r>
            <w:r>
              <w:rPr>
                <w:rFonts w:eastAsiaTheme="minorEastAsia"/>
                <w:b w:val="0"/>
                <w:color w:val="FF0000"/>
                <w:sz w:val="20"/>
                <w:lang w:eastAsia="zh-CN"/>
              </w:rPr>
              <w:t>2</w:t>
            </w:r>
          </w:p>
        </w:tc>
        <w:tc>
          <w:tcPr>
            <w:tcW w:w="1559" w:type="dxa"/>
            <w:shd w:val="clear" w:color="auto" w:fill="auto"/>
            <w:vAlign w:val="center"/>
          </w:tcPr>
          <w:p>
            <w:pPr>
              <w:pStyle w:val="65"/>
              <w:rPr>
                <w:rFonts w:eastAsiaTheme="minorEastAsia"/>
                <w:b w:val="0"/>
                <w:color w:val="FF0000"/>
                <w:sz w:val="20"/>
                <w:lang w:eastAsia="zh-CN"/>
              </w:rPr>
            </w:pPr>
            <w:r>
              <w:rPr>
                <w:rFonts w:hint="eastAsia" w:eastAsiaTheme="minorEastAsia"/>
                <w:b w:val="0"/>
                <w:color w:val="FF0000"/>
                <w:sz w:val="20"/>
                <w:lang w:eastAsia="zh-CN"/>
              </w:rPr>
              <w:t>2</w:t>
            </w:r>
            <w:r>
              <w:rPr>
                <w:rFonts w:eastAsiaTheme="minorEastAsia"/>
                <w:b w:val="0"/>
                <w:color w:val="FF0000"/>
                <w:sz w:val="20"/>
                <w:lang w:eastAsia="zh-CN"/>
              </w:rPr>
              <w:t>0</w:t>
            </w:r>
          </w:p>
        </w:tc>
        <w:tc>
          <w:tcPr>
            <w:tcW w:w="1276" w:type="dxa"/>
            <w:shd w:val="clear" w:color="auto" w:fill="auto"/>
            <w:vAlign w:val="center"/>
          </w:tcPr>
          <w:p>
            <w:pPr>
              <w:pStyle w:val="65"/>
              <w:rPr>
                <w:rFonts w:eastAsiaTheme="minorEastAsia"/>
                <w:b w:val="0"/>
                <w:color w:val="FF0000"/>
                <w:sz w:val="20"/>
                <w:lang w:eastAsia="zh-CN"/>
              </w:rPr>
            </w:pPr>
            <w:r>
              <w:rPr>
                <w:rFonts w:hint="eastAsia" w:eastAsiaTheme="minorEastAsia"/>
                <w:b w:val="0"/>
                <w:color w:val="FF000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shd w:val="clear" w:color="auto" w:fill="auto"/>
          </w:tcPr>
          <w:p>
            <w:pPr>
              <w:pStyle w:val="66"/>
              <w:rPr>
                <w:rFonts w:eastAsia="Batang"/>
              </w:rPr>
            </w:pPr>
            <w:r>
              <w:rPr>
                <w:rFonts w:eastAsia="Batang"/>
              </w:rPr>
              <w:t>2</w:t>
            </w:r>
          </w:p>
        </w:tc>
        <w:tc>
          <w:tcPr>
            <w:tcW w:w="1416" w:type="dxa"/>
            <w:shd w:val="clear" w:color="auto" w:fill="auto"/>
          </w:tcPr>
          <w:p>
            <w:pPr>
              <w:pStyle w:val="66"/>
              <w:rPr>
                <w:rFonts w:eastAsia="Batang"/>
              </w:rPr>
            </w:pPr>
            <w:r>
              <w:rPr>
                <w:rFonts w:eastAsia="Batang"/>
              </w:rPr>
              <w:t>12</w:t>
            </w:r>
          </w:p>
        </w:tc>
        <w:tc>
          <w:tcPr>
            <w:tcW w:w="1559" w:type="dxa"/>
            <w:shd w:val="clear" w:color="auto" w:fill="auto"/>
          </w:tcPr>
          <w:p>
            <w:pPr>
              <w:pStyle w:val="66"/>
              <w:rPr>
                <w:rFonts w:eastAsia="Batang"/>
              </w:rPr>
            </w:pPr>
            <w:r>
              <w:rPr>
                <w:rFonts w:eastAsia="Batang"/>
              </w:rPr>
              <w:t>40</w:t>
            </w:r>
          </w:p>
        </w:tc>
        <w:tc>
          <w:tcPr>
            <w:tcW w:w="1276" w:type="dxa"/>
            <w:shd w:val="clear" w:color="auto" w:fill="auto"/>
          </w:tcPr>
          <w:p>
            <w:pPr>
              <w:pStyle w:val="66"/>
              <w:rPr>
                <w:rFonts w:eastAsia="Batang"/>
              </w:rPr>
            </w:pPr>
            <w:r>
              <w:rPr>
                <w:rFonts w:eastAsia="Batang"/>
              </w:rPr>
              <w:t>4</w:t>
            </w:r>
          </w:p>
        </w:tc>
      </w:tr>
    </w:tbl>
    <w:p>
      <w:pPr>
        <w:jc w:val="center"/>
        <w:rPr>
          <w:iCs/>
          <w:lang w:val="en-GB" w:eastAsia="zh-CN"/>
        </w:rPr>
      </w:pPr>
    </w:p>
    <w:p>
      <w:pPr>
        <w:rPr>
          <w:b/>
          <w:i/>
          <w:iCs/>
          <w:u w:val="single"/>
          <w:lang w:eastAsia="zh-CN"/>
        </w:rPr>
      </w:pPr>
      <w:r>
        <w:rPr>
          <w:b/>
          <w:i/>
          <w:iCs/>
          <w:u w:val="single"/>
          <w:lang w:eastAsia="zh-CN"/>
        </w:rPr>
        <w:t xml:space="preserve">Changes to TS38.213 </w:t>
      </w:r>
      <w:r>
        <w:rPr>
          <w:b/>
          <w:i/>
          <w:iCs/>
          <w:u w:val="single"/>
          <w:lang w:eastAsia="zh-CN"/>
        </w:rPr>
        <w:fldChar w:fldCharType="begin"/>
      </w:r>
      <w:r>
        <w:rPr>
          <w:b/>
          <w:i/>
          <w:iCs/>
          <w:u w:val="single"/>
          <w:lang w:eastAsia="zh-CN"/>
        </w:rPr>
        <w:instrText xml:space="preserve"> REF _Ref135038158 \n \h </w:instrText>
      </w:r>
      <w:r>
        <w:rPr>
          <w:b/>
          <w:i/>
          <w:iCs/>
          <w:u w:val="single"/>
          <w:lang w:eastAsia="zh-CN"/>
        </w:rPr>
        <w:fldChar w:fldCharType="separate"/>
      </w:r>
      <w:r>
        <w:rPr>
          <w:b/>
          <w:i/>
          <w:iCs/>
          <w:u w:val="single"/>
          <w:lang w:eastAsia="zh-CN"/>
        </w:rPr>
        <w:t>[2]</w:t>
      </w:r>
      <w:r>
        <w:rPr>
          <w:b/>
          <w:i/>
          <w:iCs/>
          <w:u w:val="single"/>
          <w:lang w:eastAsia="zh-CN"/>
        </w:rPr>
        <w:fldChar w:fldCharType="end"/>
      </w:r>
    </w:p>
    <w:p>
      <w:pPr>
        <w:rPr>
          <w:iCs/>
          <w:lang w:val="en-GB" w:eastAsia="zh-CN"/>
        </w:rPr>
      </w:pPr>
      <w:r>
        <w:rPr>
          <w:iCs/>
          <w:lang w:val="en-GB" w:eastAsia="zh-CN"/>
        </w:rPr>
        <w:t xml:space="preserve">The change needed to TS38.213 for determining the slot format is as follows as in </w:t>
      </w:r>
      <w:r>
        <w:rPr>
          <w:iCs/>
          <w:color w:val="FF0000"/>
          <w:lang w:val="en-GB" w:eastAsia="zh-CN"/>
        </w:rPr>
        <w:t xml:space="preserve">red </w:t>
      </w:r>
      <w:r>
        <w:rPr>
          <w:iCs/>
          <w:lang w:val="en-GB" w:eastAsia="zh-CN"/>
        </w:rPr>
        <w:t>fonts: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rPr>
                <w:i/>
              </w:rPr>
            </w:pPr>
            <w:r>
              <w:rPr>
                <w:i/>
              </w:rPr>
              <w:t xml:space="preserve">If a BWP in the serving cell is configured with </w:t>
            </w:r>
            <m:oMath>
              <m:r>
                <w:rPr>
                  <w:rFonts w:ascii="Cambria Math" w:hAnsi="Cambria Math"/>
                  <w:lang w:eastAsia="zh-CN"/>
                </w:rPr>
                <m:t>μ=</m:t>
              </m:r>
              <m:r>
                <w:rPr>
                  <w:rFonts w:ascii="Cambria Math" w:hAnsi="Cambria Math"/>
                  <w:color w:val="FF0000"/>
                  <w:lang w:eastAsia="zh-CN"/>
                </w:rPr>
                <m:t xml:space="preserve">0, 1, </m:t>
              </m:r>
              <m:r>
                <m:rPr>
                  <m:sty m:val="p"/>
                </m:rPr>
                <w:rPr>
                  <w:rFonts w:ascii="Cambria Math" w:hAnsi="Cambria Math"/>
                  <w:color w:val="FF0000"/>
                  <w:lang w:eastAsia="zh-CN"/>
                </w:rPr>
                <m:t>or</m:t>
              </m:r>
              <m:r>
                <w:rPr>
                  <w:rFonts w:ascii="Cambria Math" w:hAnsi="Cambria Math"/>
                  <w:lang w:eastAsia="zh-CN"/>
                </w:rPr>
                <m:t xml:space="preserve"> 2</m:t>
              </m:r>
            </m:oMath>
            <w:r>
              <w:rPr>
                <w:i/>
              </w:rPr>
              <w:t xml:space="preserve"> and with extended CP, the UE expects </w:t>
            </w:r>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SFI</m:t>
                  </m:r>
                  <m:ctrlPr>
                    <w:rPr>
                      <w:rFonts w:ascii="Cambria Math" w:hAnsi="Cambria Math"/>
                      <w:i/>
                    </w:rPr>
                  </m:ctrlPr>
                </m:sub>
              </m:sSub>
              <m:r>
                <w:rPr>
                  <w:rFonts w:ascii="Cambria Math" w:hAnsi="Cambria Math"/>
                </w:rPr>
                <m:t>=0</m:t>
              </m:r>
            </m:oMath>
            <w:r>
              <w:rPr>
                <w:i/>
              </w:rPr>
              <w:t xml:space="preserve">, </w:t>
            </w:r>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SFI</m:t>
                  </m:r>
                  <m:ctrlPr>
                    <w:rPr>
                      <w:rFonts w:ascii="Cambria Math" w:hAnsi="Cambria Math"/>
                      <w:i/>
                    </w:rPr>
                  </m:ctrlPr>
                </m:sub>
              </m:sSub>
              <m:r>
                <w:rPr>
                  <w:rFonts w:ascii="Cambria Math" w:hAnsi="Cambria Math"/>
                </w:rPr>
                <m:t>=1</m:t>
              </m:r>
            </m:oMath>
            <w:r>
              <w:rPr>
                <w:i/>
              </w:rPr>
              <w:t xml:space="preserve">, or </w:t>
            </w:r>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SFI</m:t>
                  </m:r>
                  <m:ctrlPr>
                    <w:rPr>
                      <w:rFonts w:ascii="Cambria Math" w:hAnsi="Cambria Math"/>
                      <w:i/>
                    </w:rPr>
                  </m:ctrlPr>
                </m:sub>
              </m:sSub>
              <m:r>
                <w:rPr>
                  <w:rFonts w:ascii="Cambria Math" w:hAnsi="Cambria Math"/>
                </w:rPr>
                <m:t>=2</m:t>
              </m:r>
            </m:oMath>
            <w:r>
              <w:rPr>
                <w:i/>
              </w:rPr>
              <w:t>. A format for a slot with extended CP is determined from a format for a slot with normal CP. A UE determines an extended CP symbol to be a downlink/uplink/flexible symbol if the overlapping normal CP symbols that are downlink/uplink/flexible symbols, respectively. A UE determines an extended CP symbol to be a flexible symbol if one of the overlapping normal CP symbols is flexible. A UE determines an extended CP symbol to be a flexible symbol if the pair of the overlapping normal CP symbols includes a downlink and an uplink symbol.</w:t>
            </w:r>
          </w:p>
          <w:p>
            <w:pPr>
              <w:widowControl w:val="0"/>
              <w:rPr>
                <w:lang w:eastAsia="zh-CN"/>
              </w:rPr>
            </w:pPr>
            <w:r>
              <w:rPr>
                <w:i/>
              </w:rPr>
              <w:t xml:space="preserve">A reference SCS configuration </w:t>
            </w:r>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SFI</m:t>
                  </m:r>
                  <m:ctrlPr>
                    <w:rPr>
                      <w:rFonts w:ascii="Cambria Math" w:hAnsi="Cambria Math"/>
                      <w:i/>
                    </w:rPr>
                  </m:ctrlPr>
                </m:sub>
              </m:sSub>
            </m:oMath>
            <w:r>
              <w:rPr>
                <w:i/>
              </w:rPr>
              <w:t xml:space="preserve">, or </w:t>
            </w:r>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SFI,DL</m:t>
                  </m:r>
                  <m:ctrlPr>
                    <w:rPr>
                      <w:rFonts w:ascii="Cambria Math" w:hAnsi="Cambria Math"/>
                      <w:i/>
                    </w:rPr>
                  </m:ctrlPr>
                </m:sub>
              </m:sSub>
            </m:oMath>
            <w:r>
              <w:rPr>
                <w:i/>
              </w:rPr>
              <w:t xml:space="preserve">, or </w:t>
            </w:r>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SFI,UL</m:t>
                  </m:r>
                  <m:ctrlPr>
                    <w:rPr>
                      <w:rFonts w:ascii="Cambria Math" w:hAnsi="Cambria Math"/>
                      <w:i/>
                    </w:rPr>
                  </m:ctrlPr>
                </m:sub>
              </m:sSub>
            </m:oMath>
            <w:r>
              <w:rPr>
                <w:i/>
              </w:rPr>
              <w:t xml:space="preserve">, or </w:t>
            </w:r>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SFI,SUL</m:t>
                  </m:r>
                  <m:ctrlPr>
                    <w:rPr>
                      <w:rFonts w:ascii="Cambria Math" w:hAnsi="Cambria Math"/>
                      <w:i/>
                    </w:rPr>
                  </m:ctrlPr>
                </m:sub>
              </m:sSub>
            </m:oMath>
            <w:r>
              <w:rPr>
                <w:i/>
              </w:rPr>
              <w:t xml:space="preserve"> is either 0, or 1, or 2 for FR1 and is either 2 or 3 for FR2. </w:t>
            </w:r>
          </w:p>
        </w:tc>
      </w:tr>
    </w:tbl>
    <w:p>
      <w:pPr>
        <w:rPr>
          <w:iCs/>
          <w:lang w:val="en-GB" w:eastAsia="zh-CN"/>
        </w:rPr>
      </w:pPr>
    </w:p>
    <w:p>
      <w:pPr>
        <w:rPr>
          <w:iCs/>
          <w:lang w:eastAsia="zh-CN"/>
        </w:rPr>
      </w:pPr>
      <w:r>
        <w:rPr>
          <w:iCs/>
          <w:lang w:eastAsia="zh-CN"/>
        </w:rPr>
        <w:t>The reason for the little specification impact to RAN1 is because all other parts of the specifications are already written to support extended CP for 60 kHz SCS in a way that is transparent to SCS.</w:t>
      </w:r>
    </w:p>
    <w:p>
      <w:pPr>
        <w:rPr>
          <w:b/>
          <w:i/>
          <w:iCs/>
          <w:u w:val="single"/>
          <w:lang w:val="en-GB" w:eastAsia="zh-CN"/>
        </w:rPr>
      </w:pPr>
      <w:r>
        <w:rPr>
          <w:rFonts w:hint="eastAsia"/>
          <w:b/>
          <w:i/>
          <w:iCs/>
          <w:u w:val="single"/>
          <w:lang w:val="en-GB" w:eastAsia="zh-CN"/>
        </w:rPr>
        <w:t>N</w:t>
      </w:r>
      <w:r>
        <w:rPr>
          <w:b/>
          <w:i/>
          <w:iCs/>
          <w:u w:val="single"/>
          <w:lang w:val="en-GB" w:eastAsia="zh-CN"/>
        </w:rPr>
        <w:t>ecessary signalling support  from RAN2</w:t>
      </w:r>
    </w:p>
    <w:p>
      <w:pPr>
        <w:rPr>
          <w:iCs/>
          <w:lang w:val="en-GB" w:eastAsia="zh-CN"/>
        </w:rPr>
      </w:pPr>
      <w:r>
        <w:rPr>
          <w:rFonts w:hint="eastAsia"/>
          <w:iCs/>
          <w:lang w:val="en-GB" w:eastAsia="zh-CN"/>
        </w:rPr>
        <w:t>O</w:t>
      </w:r>
      <w:r>
        <w:rPr>
          <w:iCs/>
          <w:lang w:val="en-GB" w:eastAsia="zh-CN"/>
        </w:rPr>
        <w:t xml:space="preserve">nce RAN1 decides to adopt such a TEI, RAN2 can directly incorporate the necessary signalling support for the configuration of the CFR via a CR. </w:t>
      </w:r>
    </w:p>
    <w:bookmarkEnd w:id="3"/>
    <w:p>
      <w:pPr>
        <w:rPr>
          <w:b/>
          <w:i/>
          <w:iCs/>
          <w:lang w:val="en-GB" w:eastAsia="zh-CN"/>
        </w:rPr>
      </w:pPr>
      <w:bookmarkStart w:id="6" w:name="_Ref71620620"/>
      <w:bookmarkStart w:id="7" w:name="_Ref129681832"/>
      <w:bookmarkStart w:id="8" w:name="_Ref124671424"/>
      <w:bookmarkStart w:id="9" w:name="_Ref124589665"/>
    </w:p>
    <w:p>
      <w:pPr>
        <w:rPr>
          <w:b/>
          <w:i/>
          <w:iCs/>
          <w:lang w:val="en-GB" w:eastAsia="zh-CN"/>
        </w:rPr>
      </w:pPr>
      <w:r>
        <w:rPr>
          <w:b/>
          <w:i/>
          <w:iCs/>
          <w:lang w:val="en-GB" w:eastAsia="zh-CN"/>
        </w:rPr>
        <w:t xml:space="preserve">Observation 3: The specification impact to RAN1 is minor including, i.e., changes to </w:t>
      </w:r>
      <w:r>
        <w:rPr>
          <w:b/>
          <w:i/>
          <w:iCs/>
          <w:lang w:eastAsia="zh-CN"/>
        </w:rPr>
        <w:t xml:space="preserve">TS 38.211 clause 4.2 Table 4.2-1 and clause 4.3.2 </w:t>
      </w:r>
      <w:r>
        <w:rPr>
          <w:b/>
          <w:i/>
          <w:iCs/>
          <w:lang w:val="en-GB" w:eastAsia="zh-CN"/>
        </w:rPr>
        <w:t xml:space="preserve">Table 4.3.2-2, and </w:t>
      </w:r>
      <w:r>
        <w:rPr>
          <w:b/>
          <w:i/>
          <w:iCs/>
          <w:lang w:eastAsia="zh-CN"/>
        </w:rPr>
        <w:t>TS 38.213 clause 11.1.1 for slot format determination.</w:t>
      </w:r>
    </w:p>
    <w:p>
      <w:pPr>
        <w:rPr>
          <w:b/>
          <w:i/>
          <w:iCs/>
          <w:lang w:val="en-GB" w:eastAsia="zh-CN"/>
        </w:rPr>
      </w:pPr>
      <w:r>
        <w:rPr>
          <w:b/>
          <w:i/>
          <w:iCs/>
          <w:lang w:val="en-GB" w:eastAsia="zh-CN"/>
        </w:rPr>
        <w:t>Observation 4: RAN2 can directly incorporate the necessary signalling for the configuration of normal or extended CP for the CFR via a CR.</w:t>
      </w:r>
    </w:p>
    <w:p>
      <w:pPr>
        <w:rPr>
          <w:iCs/>
          <w:lang w:val="en-GB" w:eastAsia="zh-CN"/>
        </w:rPr>
      </w:pPr>
      <w:r>
        <w:rPr>
          <w:iCs/>
          <w:lang w:val="en-GB" w:eastAsia="zh-CN"/>
        </w:rPr>
        <w:t>Overall, the support of extended CP for the 15kHz and 30kHz subcarrier spacing</w:t>
      </w:r>
      <w:r>
        <w:t xml:space="preserve"> </w:t>
      </w:r>
      <w:r>
        <w:rPr>
          <w:iCs/>
          <w:lang w:val="en-GB" w:eastAsia="zh-CN"/>
        </w:rPr>
        <w:t xml:space="preserve">as a Rel-18 TEI is feasible based on the above analysis. </w:t>
      </w:r>
    </w:p>
    <w:p>
      <w:pPr>
        <w:rPr>
          <w:b/>
          <w:i/>
          <w:iCs/>
          <w:lang w:eastAsia="zh-CN"/>
        </w:rPr>
      </w:pPr>
      <w:r>
        <w:rPr>
          <w:rFonts w:hint="eastAsia"/>
          <w:b/>
          <w:i/>
          <w:iCs/>
          <w:u w:val="single"/>
          <w:lang w:eastAsia="zh-CN"/>
        </w:rPr>
        <w:t>P</w:t>
      </w:r>
      <w:r>
        <w:rPr>
          <w:b/>
          <w:i/>
          <w:iCs/>
          <w:u w:val="single"/>
          <w:lang w:eastAsia="zh-CN"/>
        </w:rPr>
        <w:t>roposal</w:t>
      </w:r>
      <w:r>
        <w:rPr>
          <w:b/>
          <w:i/>
          <w:iCs/>
          <w:lang w:eastAsia="zh-CN"/>
        </w:rPr>
        <w:t>: Specify the support of extended CP for the 15kHz and 30kHz subcarrier spacing</w:t>
      </w:r>
      <w:r>
        <w:rPr>
          <w:lang w:eastAsia="zh-CN"/>
        </w:rPr>
        <w:t xml:space="preserve"> </w:t>
      </w:r>
      <w:r>
        <w:rPr>
          <w:b/>
          <w:i/>
          <w:iCs/>
          <w:lang w:eastAsia="zh-CN"/>
        </w:rPr>
        <w:t>by scaling based on eCP for 60 kHz SCS for MBS broadcast and multicast transmission as a Rel-18 TEI.</w:t>
      </w:r>
    </w:p>
    <w:p>
      <w:pPr>
        <w:rPr>
          <w:lang w:eastAsia="zh-CN"/>
        </w:rPr>
      </w:pPr>
    </w:p>
    <w:p>
      <w:pPr>
        <w:pStyle w:val="2"/>
        <w:tabs>
          <w:tab w:val="left" w:pos="-228"/>
          <w:tab w:val="clear" w:pos="432"/>
        </w:tabs>
        <w:ind w:left="-220" w:leftChars="-100"/>
      </w:pPr>
      <w:r>
        <w:t>Conclusions</w:t>
      </w:r>
    </w:p>
    <w:p>
      <w:pPr>
        <w:rPr>
          <w:lang w:eastAsia="zh-CN"/>
        </w:rPr>
      </w:pPr>
      <w:r>
        <w:rPr>
          <w:lang w:eastAsia="zh-CN"/>
        </w:rPr>
        <w:t>This papers provides the motivation of the support of extended CP for the 15KHz and 30kHz subcarrier spacing for MBS transmission and the feasibility analysis as a Rel-18 TEI, which leads to the following observations and proposals:</w:t>
      </w:r>
    </w:p>
    <w:p>
      <w:pPr>
        <w:rPr>
          <w:lang w:eastAsia="zh-CN"/>
        </w:rPr>
      </w:pPr>
      <w:r>
        <w:rPr>
          <w:rFonts w:hint="eastAsia"/>
          <w:b/>
          <w:i/>
          <w:lang w:eastAsia="zh-CN"/>
        </w:rPr>
        <w:t>O</w:t>
      </w:r>
      <w:r>
        <w:rPr>
          <w:b/>
          <w:i/>
          <w:lang w:eastAsia="zh-CN"/>
        </w:rPr>
        <w:t>bservation 1: The specification allowing only normal CP for 15kHz and 30kHz subcarrier spacing unnecessarily imposes the limits to the deployments of MBS</w:t>
      </w:r>
      <w:r>
        <w:rPr>
          <w:lang w:eastAsia="zh-CN"/>
        </w:rPr>
        <w:t xml:space="preserve">. </w:t>
      </w:r>
    </w:p>
    <w:p>
      <w:pPr>
        <w:rPr>
          <w:lang w:eastAsia="zh-CN"/>
        </w:rPr>
      </w:pPr>
      <w:r>
        <w:rPr>
          <w:rFonts w:hint="eastAsia"/>
          <w:b/>
          <w:i/>
          <w:lang w:eastAsia="zh-CN"/>
        </w:rPr>
        <w:t>O</w:t>
      </w:r>
      <w:r>
        <w:rPr>
          <w:b/>
          <w:i/>
          <w:lang w:eastAsia="zh-CN"/>
        </w:rPr>
        <w:t>bservation 2: Extended CP can help improve the special efficiency for MBS transmission</w:t>
      </w:r>
      <w:r>
        <w:rPr>
          <w:lang w:eastAsia="zh-CN"/>
        </w:rPr>
        <w:t xml:space="preserve">. </w:t>
      </w:r>
    </w:p>
    <w:p>
      <w:pPr>
        <w:rPr>
          <w:b/>
          <w:i/>
          <w:iCs/>
          <w:lang w:val="en-GB" w:eastAsia="zh-CN"/>
        </w:rPr>
      </w:pPr>
      <w:r>
        <w:rPr>
          <w:b/>
          <w:i/>
          <w:iCs/>
          <w:lang w:val="en-GB" w:eastAsia="zh-CN"/>
        </w:rPr>
        <w:t xml:space="preserve">Observation 3: The specification impact to RAN1 is minor including, i.e., changes to </w:t>
      </w:r>
      <w:r>
        <w:rPr>
          <w:b/>
          <w:i/>
          <w:iCs/>
          <w:lang w:eastAsia="zh-CN"/>
        </w:rPr>
        <w:t xml:space="preserve">TS 38.211 clause 4.2 Table 4.2-1 and clause 4.3.2 </w:t>
      </w:r>
      <w:r>
        <w:rPr>
          <w:b/>
          <w:i/>
          <w:iCs/>
          <w:lang w:val="en-GB" w:eastAsia="zh-CN"/>
        </w:rPr>
        <w:t xml:space="preserve">Table 4.3.2-2, and </w:t>
      </w:r>
      <w:r>
        <w:rPr>
          <w:b/>
          <w:i/>
          <w:iCs/>
          <w:lang w:eastAsia="zh-CN"/>
        </w:rPr>
        <w:t>TS 38.213 clause 11.1.1 for slot format determination.</w:t>
      </w:r>
    </w:p>
    <w:p>
      <w:pPr>
        <w:rPr>
          <w:b/>
          <w:i/>
          <w:iCs/>
          <w:lang w:val="en-GB" w:eastAsia="zh-CN"/>
        </w:rPr>
      </w:pPr>
      <w:r>
        <w:rPr>
          <w:b/>
          <w:i/>
          <w:iCs/>
          <w:lang w:val="en-GB" w:eastAsia="zh-CN"/>
        </w:rPr>
        <w:t>Observation 4: RAN2 can directly incorporate the necessary signalling for the configuration of normal or extended CP for the CFR via a CR.</w:t>
      </w:r>
    </w:p>
    <w:p>
      <w:pPr>
        <w:rPr>
          <w:lang w:val="en-GB" w:eastAsia="zh-CN"/>
        </w:rPr>
      </w:pPr>
    </w:p>
    <w:p>
      <w:pPr>
        <w:rPr>
          <w:b/>
          <w:i/>
          <w:iCs/>
          <w:lang w:eastAsia="zh-CN"/>
        </w:rPr>
      </w:pPr>
      <w:r>
        <w:rPr>
          <w:rFonts w:hint="eastAsia"/>
          <w:b/>
          <w:i/>
          <w:iCs/>
          <w:u w:val="single"/>
          <w:lang w:eastAsia="zh-CN"/>
        </w:rPr>
        <w:t>P</w:t>
      </w:r>
      <w:r>
        <w:rPr>
          <w:b/>
          <w:i/>
          <w:iCs/>
          <w:u w:val="single"/>
          <w:lang w:eastAsia="zh-CN"/>
        </w:rPr>
        <w:t>roposal</w:t>
      </w:r>
      <w:r>
        <w:rPr>
          <w:b/>
          <w:i/>
          <w:iCs/>
          <w:lang w:eastAsia="zh-CN"/>
        </w:rPr>
        <w:t>: Specify the support of extended CP for the 15kHz and 30kHz subcarrier spacing</w:t>
      </w:r>
      <w:r>
        <w:rPr>
          <w:lang w:eastAsia="zh-CN"/>
        </w:rPr>
        <w:t xml:space="preserve"> </w:t>
      </w:r>
      <w:r>
        <w:rPr>
          <w:b/>
          <w:i/>
          <w:iCs/>
          <w:lang w:eastAsia="zh-CN"/>
        </w:rPr>
        <w:t>by scaling based on eCP for 60 kHz SCS for MBS broadcast and multicast transmission as a Rel-18 TEI.</w:t>
      </w:r>
    </w:p>
    <w:p>
      <w:pPr>
        <w:rPr>
          <w:lang w:eastAsia="zh-CN"/>
        </w:rPr>
      </w:pPr>
    </w:p>
    <w:p>
      <w:pPr>
        <w:pStyle w:val="2"/>
        <w:numPr>
          <w:ilvl w:val="0"/>
          <w:numId w:val="0"/>
        </w:numPr>
      </w:pPr>
      <w:r>
        <w:t>References</w:t>
      </w:r>
    </w:p>
    <w:bookmarkEnd w:id="6"/>
    <w:bookmarkEnd w:id="7"/>
    <w:bookmarkEnd w:id="8"/>
    <w:bookmarkEnd w:id="9"/>
    <w:p>
      <w:pPr>
        <w:pStyle w:val="34"/>
        <w:tabs>
          <w:tab w:val="left" w:pos="-329"/>
          <w:tab w:val="clear" w:pos="1211"/>
        </w:tabs>
        <w:ind w:left="-29" w:leftChars="-13"/>
        <w:rPr>
          <w:lang w:val="en-GB"/>
        </w:rPr>
      </w:pPr>
      <w:bookmarkStart w:id="10" w:name="_Ref129623425"/>
      <w:bookmarkStart w:id="11" w:name="_Ref114756136"/>
      <w:bookmarkStart w:id="12" w:name="_Ref109298363"/>
      <w:bookmarkStart w:id="13" w:name="_Ref108629796"/>
      <w:bookmarkStart w:id="14" w:name="_Ref114678691"/>
      <w:r>
        <w:rPr>
          <w:rFonts w:hint="eastAsia"/>
          <w:lang w:eastAsia="zh-CN"/>
        </w:rPr>
        <w:t>TS</w:t>
      </w:r>
      <w:r>
        <w:t xml:space="preserve"> 38.211, NR; </w:t>
      </w:r>
      <w:r>
        <w:rPr>
          <w:lang w:val="en-GB"/>
        </w:rPr>
        <w:t>Physical channels and modulation (Release 17), v17.5.0 (2023-03).</w:t>
      </w:r>
      <w:bookmarkEnd w:id="10"/>
      <w:r>
        <w:rPr>
          <w:lang w:val="en-GB"/>
        </w:rPr>
        <w:t xml:space="preserve"> </w:t>
      </w:r>
      <w:bookmarkEnd w:id="11"/>
      <w:bookmarkEnd w:id="12"/>
      <w:bookmarkEnd w:id="13"/>
      <w:bookmarkEnd w:id="14"/>
    </w:p>
    <w:p>
      <w:pPr>
        <w:pStyle w:val="34"/>
        <w:tabs>
          <w:tab w:val="left" w:pos="-329"/>
          <w:tab w:val="clear" w:pos="1211"/>
        </w:tabs>
        <w:ind w:left="-29" w:leftChars="-13"/>
        <w:rPr>
          <w:lang w:val="en-GB"/>
        </w:rPr>
      </w:pPr>
      <w:bookmarkStart w:id="15" w:name="_Ref135039442"/>
      <w:r>
        <w:rPr>
          <w:lang w:val="en-GB"/>
        </w:rPr>
        <w:t xml:space="preserve">RWS-210446, </w:t>
      </w:r>
      <w:r>
        <w:rPr>
          <w:bCs/>
          <w:lang w:val="en-GB"/>
        </w:rPr>
        <w:t xml:space="preserve">NR multicast broadcast enhancements, </w:t>
      </w:r>
      <w:r>
        <w:rPr>
          <w:rFonts w:hint="eastAsia"/>
          <w:bCs/>
          <w:lang w:val="en-GB"/>
        </w:rPr>
        <w:t>Huawei</w:t>
      </w:r>
      <w:r>
        <w:rPr>
          <w:bCs/>
        </w:rPr>
        <w:t xml:space="preserve">, HiSilicon, RAN Rel-18 workshop, E-Meeting, </w:t>
      </w:r>
      <w:r>
        <w:rPr>
          <w:bCs/>
          <w:lang w:val="en-GB"/>
        </w:rPr>
        <w:t>June 28 – July 2, 2021.</w:t>
      </w:r>
      <w:bookmarkEnd w:id="15"/>
    </w:p>
    <w:p>
      <w:pPr>
        <w:pStyle w:val="34"/>
        <w:tabs>
          <w:tab w:val="left" w:pos="-329"/>
          <w:tab w:val="clear" w:pos="1211"/>
        </w:tabs>
        <w:ind w:left="-29" w:leftChars="-13"/>
        <w:rPr>
          <w:lang w:val="en-GB"/>
        </w:rPr>
      </w:pPr>
      <w:bookmarkStart w:id="16" w:name="_Ref135039448"/>
      <w:r>
        <w:rPr>
          <w:lang w:val="en-GB"/>
        </w:rPr>
        <w:t xml:space="preserve">RWS-210330, MBS and related spectrum bands in Rel-18, Ericsson, </w:t>
      </w:r>
      <w:r>
        <w:rPr>
          <w:bCs/>
        </w:rPr>
        <w:t xml:space="preserve">RAN Rel-18 workshop, E-Meeting, </w:t>
      </w:r>
      <w:r>
        <w:rPr>
          <w:bCs/>
          <w:lang w:val="en-GB"/>
        </w:rPr>
        <w:t>June 28 – July 2, 2021.</w:t>
      </w:r>
      <w:bookmarkEnd w:id="16"/>
    </w:p>
    <w:p>
      <w:pPr>
        <w:pStyle w:val="34"/>
        <w:tabs>
          <w:tab w:val="left" w:pos="-329"/>
          <w:tab w:val="clear" w:pos="1211"/>
        </w:tabs>
        <w:ind w:left="-29" w:leftChars="-13"/>
        <w:rPr>
          <w:lang w:val="en-GB"/>
        </w:rPr>
      </w:pPr>
      <w:bookmarkStart w:id="17" w:name="_Ref135038158"/>
      <w:r>
        <w:rPr>
          <w:lang w:val="en-GB"/>
        </w:rPr>
        <w:t>TS 38.213, NR; Physical layer procedures for control (Release 17), v17.5.0 (2023-03).</w:t>
      </w:r>
      <w:bookmarkEnd w:id="17"/>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Batang">
    <w:altName w:val="思源宋體 SemiBold"/>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877D64"/>
    <w:multiLevelType w:val="singleLevel"/>
    <w:tmpl w:val="3A877D64"/>
    <w:lvl w:ilvl="0" w:tentative="0">
      <w:start w:val="1"/>
      <w:numFmt w:val="decimal"/>
      <w:pStyle w:val="34"/>
      <w:lvlText w:val="[%1]"/>
      <w:lvlJc w:val="left"/>
      <w:pPr>
        <w:tabs>
          <w:tab w:val="left" w:pos="1211"/>
        </w:tabs>
        <w:ind w:left="1211" w:hanging="360"/>
      </w:pPr>
      <w:rPr>
        <w:lang w:val="en-GB"/>
      </w:rPr>
    </w:lvl>
  </w:abstractNum>
  <w:abstractNum w:abstractNumId="2">
    <w:nsid w:val="417F6AFB"/>
    <w:multiLevelType w:val="multilevel"/>
    <w:tmpl w:val="417F6AFB"/>
    <w:lvl w:ilvl="0" w:tentative="0">
      <w:start w:val="1"/>
      <w:numFmt w:val="bullet"/>
      <w:pStyle w:val="5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lang w:val="en-GB"/>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3">
    <w:nsid w:val="70146DC0"/>
    <w:multiLevelType w:val="multilevel"/>
    <w:tmpl w:val="70146DC0"/>
    <w:lvl w:ilvl="0" w:tentative="0">
      <w:start w:val="1"/>
      <w:numFmt w:val="bullet"/>
      <w:pStyle w:val="7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F547DFD"/>
    <w:multiLevelType w:val="singleLevel"/>
    <w:tmpl w:val="7F547DFD"/>
    <w:lvl w:ilvl="0" w:tentative="0">
      <w:start w:val="1"/>
      <w:numFmt w:val="bullet"/>
      <w:pStyle w:val="62"/>
      <w:lvlText w:val=""/>
      <w:lvlJc w:val="left"/>
      <w:pPr>
        <w:tabs>
          <w:tab w:val="left" w:pos="1418"/>
        </w:tabs>
        <w:ind w:left="1418" w:hanging="426"/>
      </w:pPr>
      <w:rPr>
        <w:rFonts w:hint="default" w:ascii="Wingdings" w:hAnsi="Wingdings"/>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D"/>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4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3F"/>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537B"/>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94"/>
    <w:rsid w:val="000918A8"/>
    <w:rsid w:val="0009245F"/>
    <w:rsid w:val="00092632"/>
    <w:rsid w:val="00092B41"/>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774"/>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4837"/>
    <w:rsid w:val="000F551C"/>
    <w:rsid w:val="000F552A"/>
    <w:rsid w:val="000F593D"/>
    <w:rsid w:val="000F59CF"/>
    <w:rsid w:val="000F636B"/>
    <w:rsid w:val="000F6739"/>
    <w:rsid w:val="000F6E4E"/>
    <w:rsid w:val="000F7F58"/>
    <w:rsid w:val="00100128"/>
    <w:rsid w:val="00100B15"/>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384A"/>
    <w:rsid w:val="00143889"/>
    <w:rsid w:val="00143F0A"/>
    <w:rsid w:val="001442D5"/>
    <w:rsid w:val="0014450F"/>
    <w:rsid w:val="00144D8F"/>
    <w:rsid w:val="00145C74"/>
    <w:rsid w:val="001460B0"/>
    <w:rsid w:val="001462E9"/>
    <w:rsid w:val="001465B5"/>
    <w:rsid w:val="00146A81"/>
    <w:rsid w:val="00146E32"/>
    <w:rsid w:val="00147067"/>
    <w:rsid w:val="0014773D"/>
    <w:rsid w:val="00147E0E"/>
    <w:rsid w:val="00147ED3"/>
    <w:rsid w:val="00147F53"/>
    <w:rsid w:val="00151619"/>
    <w:rsid w:val="00152835"/>
    <w:rsid w:val="00153892"/>
    <w:rsid w:val="00153E42"/>
    <w:rsid w:val="00154119"/>
    <w:rsid w:val="001559BB"/>
    <w:rsid w:val="001559FA"/>
    <w:rsid w:val="00156374"/>
    <w:rsid w:val="001563AB"/>
    <w:rsid w:val="00156460"/>
    <w:rsid w:val="001570EF"/>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72"/>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A33"/>
    <w:rsid w:val="00175C30"/>
    <w:rsid w:val="00175E95"/>
    <w:rsid w:val="00176022"/>
    <w:rsid w:val="001760D9"/>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55"/>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63"/>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4C0E"/>
    <w:rsid w:val="0025511B"/>
    <w:rsid w:val="002551D0"/>
    <w:rsid w:val="00255261"/>
    <w:rsid w:val="00255374"/>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D6"/>
    <w:rsid w:val="0028479E"/>
    <w:rsid w:val="00284BAE"/>
    <w:rsid w:val="00284F7B"/>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F3C"/>
    <w:rsid w:val="002C300E"/>
    <w:rsid w:val="002C3513"/>
    <w:rsid w:val="002C38B2"/>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1DCC"/>
    <w:rsid w:val="00312400"/>
    <w:rsid w:val="00312739"/>
    <w:rsid w:val="00312CA0"/>
    <w:rsid w:val="00312D10"/>
    <w:rsid w:val="00313C99"/>
    <w:rsid w:val="00314620"/>
    <w:rsid w:val="00315149"/>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A9"/>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808"/>
    <w:rsid w:val="00357C6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01B"/>
    <w:rsid w:val="00387DE7"/>
    <w:rsid w:val="00390017"/>
    <w:rsid w:val="003901A3"/>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A3"/>
    <w:rsid w:val="003A58CB"/>
    <w:rsid w:val="003A5A1A"/>
    <w:rsid w:val="003A5D38"/>
    <w:rsid w:val="003A68FD"/>
    <w:rsid w:val="003A71CA"/>
    <w:rsid w:val="003A7834"/>
    <w:rsid w:val="003B0324"/>
    <w:rsid w:val="003B08FA"/>
    <w:rsid w:val="003B0B5B"/>
    <w:rsid w:val="003B0E79"/>
    <w:rsid w:val="003B1293"/>
    <w:rsid w:val="003B19A2"/>
    <w:rsid w:val="003B1FE5"/>
    <w:rsid w:val="003B25C1"/>
    <w:rsid w:val="003B27BC"/>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953"/>
    <w:rsid w:val="003F3B08"/>
    <w:rsid w:val="003F3B30"/>
    <w:rsid w:val="003F3D4E"/>
    <w:rsid w:val="003F43C8"/>
    <w:rsid w:val="003F477E"/>
    <w:rsid w:val="003F481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579CD"/>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A45"/>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BFA"/>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479"/>
    <w:rsid w:val="004F58B6"/>
    <w:rsid w:val="004F6AE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A6F"/>
    <w:rsid w:val="00504BC1"/>
    <w:rsid w:val="00504E01"/>
    <w:rsid w:val="00505134"/>
    <w:rsid w:val="0050525B"/>
    <w:rsid w:val="00505695"/>
    <w:rsid w:val="00505BDD"/>
    <w:rsid w:val="00505C04"/>
    <w:rsid w:val="00506A89"/>
    <w:rsid w:val="00507094"/>
    <w:rsid w:val="00507359"/>
    <w:rsid w:val="00507605"/>
    <w:rsid w:val="00507709"/>
    <w:rsid w:val="00507A68"/>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FF"/>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3AD"/>
    <w:rsid w:val="005D648A"/>
    <w:rsid w:val="005D64F4"/>
    <w:rsid w:val="005D669E"/>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230"/>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6C"/>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6FC5"/>
    <w:rsid w:val="0074704F"/>
    <w:rsid w:val="00747789"/>
    <w:rsid w:val="00747EE8"/>
    <w:rsid w:val="00747F48"/>
    <w:rsid w:val="00747F4C"/>
    <w:rsid w:val="007506BD"/>
    <w:rsid w:val="00750AF5"/>
    <w:rsid w:val="00750E32"/>
    <w:rsid w:val="00751091"/>
    <w:rsid w:val="007510A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66B"/>
    <w:rsid w:val="007767E8"/>
    <w:rsid w:val="0077686D"/>
    <w:rsid w:val="007768A4"/>
    <w:rsid w:val="00776AEA"/>
    <w:rsid w:val="00777885"/>
    <w:rsid w:val="00777A73"/>
    <w:rsid w:val="00777B1A"/>
    <w:rsid w:val="00777BA0"/>
    <w:rsid w:val="00777BD9"/>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1C7D"/>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C7ED7"/>
    <w:rsid w:val="007D042D"/>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9FA"/>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5F1"/>
    <w:rsid w:val="007E7DDF"/>
    <w:rsid w:val="007F0A66"/>
    <w:rsid w:val="007F0AEB"/>
    <w:rsid w:val="007F11A5"/>
    <w:rsid w:val="007F11C8"/>
    <w:rsid w:val="007F1940"/>
    <w:rsid w:val="007F1CFB"/>
    <w:rsid w:val="007F1DEC"/>
    <w:rsid w:val="007F220B"/>
    <w:rsid w:val="007F27DD"/>
    <w:rsid w:val="007F3289"/>
    <w:rsid w:val="007F397B"/>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69F"/>
    <w:rsid w:val="0082680E"/>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650"/>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187"/>
    <w:rsid w:val="00865555"/>
    <w:rsid w:val="00865927"/>
    <w:rsid w:val="00866183"/>
    <w:rsid w:val="008664F2"/>
    <w:rsid w:val="00866D11"/>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16CA"/>
    <w:rsid w:val="008820CE"/>
    <w:rsid w:val="0088254F"/>
    <w:rsid w:val="008828E4"/>
    <w:rsid w:val="00882B8C"/>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3"/>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602C"/>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8B"/>
    <w:rsid w:val="009303E0"/>
    <w:rsid w:val="0093094D"/>
    <w:rsid w:val="00930F49"/>
    <w:rsid w:val="00931754"/>
    <w:rsid w:val="00931D39"/>
    <w:rsid w:val="00931DCE"/>
    <w:rsid w:val="009322BE"/>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011"/>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660"/>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49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6D80"/>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2C76"/>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88E"/>
    <w:rsid w:val="00B44D30"/>
    <w:rsid w:val="00B44F99"/>
    <w:rsid w:val="00B45876"/>
    <w:rsid w:val="00B45CC6"/>
    <w:rsid w:val="00B460B3"/>
    <w:rsid w:val="00B470D2"/>
    <w:rsid w:val="00B470FE"/>
    <w:rsid w:val="00B50DCE"/>
    <w:rsid w:val="00B5118A"/>
    <w:rsid w:val="00B51542"/>
    <w:rsid w:val="00B51A2D"/>
    <w:rsid w:val="00B51BAA"/>
    <w:rsid w:val="00B51D1D"/>
    <w:rsid w:val="00B52721"/>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51DE"/>
    <w:rsid w:val="00B853BE"/>
    <w:rsid w:val="00B85A39"/>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A2C"/>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4EC"/>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3E"/>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F13"/>
    <w:rsid w:val="00C771D1"/>
    <w:rsid w:val="00C774FD"/>
    <w:rsid w:val="00C7765B"/>
    <w:rsid w:val="00C776BA"/>
    <w:rsid w:val="00C7777B"/>
    <w:rsid w:val="00C77E28"/>
    <w:rsid w:val="00C80073"/>
    <w:rsid w:val="00C80DEA"/>
    <w:rsid w:val="00C80F66"/>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2B9"/>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2C0"/>
    <w:rsid w:val="00CD0688"/>
    <w:rsid w:val="00CD087D"/>
    <w:rsid w:val="00CD0BD4"/>
    <w:rsid w:val="00CD0D61"/>
    <w:rsid w:val="00CD0F5D"/>
    <w:rsid w:val="00CD176E"/>
    <w:rsid w:val="00CD1C0B"/>
    <w:rsid w:val="00CD1D16"/>
    <w:rsid w:val="00CD1D89"/>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372"/>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05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4C35"/>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38"/>
    <w:rsid w:val="00E342B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70016"/>
    <w:rsid w:val="00E709F0"/>
    <w:rsid w:val="00E70B1E"/>
    <w:rsid w:val="00E70BC7"/>
    <w:rsid w:val="00E70EDE"/>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4B8"/>
    <w:rsid w:val="00E84988"/>
    <w:rsid w:val="00E8519F"/>
    <w:rsid w:val="00E852A9"/>
    <w:rsid w:val="00E85CC3"/>
    <w:rsid w:val="00E861EE"/>
    <w:rsid w:val="00E86314"/>
    <w:rsid w:val="00E8644A"/>
    <w:rsid w:val="00E864F0"/>
    <w:rsid w:val="00E866D2"/>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096"/>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478"/>
    <w:rsid w:val="00EC56E0"/>
    <w:rsid w:val="00EC57B4"/>
    <w:rsid w:val="00EC58D9"/>
    <w:rsid w:val="00EC5B41"/>
    <w:rsid w:val="00EC6057"/>
    <w:rsid w:val="00EC60D2"/>
    <w:rsid w:val="00EC6126"/>
    <w:rsid w:val="00EC65B6"/>
    <w:rsid w:val="00EC6847"/>
    <w:rsid w:val="00EC6AEC"/>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71C5"/>
    <w:rsid w:val="00ED7AD9"/>
    <w:rsid w:val="00ED7DCB"/>
    <w:rsid w:val="00EE0B2B"/>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5C"/>
    <w:rsid w:val="00F361E2"/>
    <w:rsid w:val="00F366A5"/>
    <w:rsid w:val="00F36C5F"/>
    <w:rsid w:val="00F3724B"/>
    <w:rsid w:val="00F37259"/>
    <w:rsid w:val="00F400D7"/>
    <w:rsid w:val="00F404E4"/>
    <w:rsid w:val="00F405A4"/>
    <w:rsid w:val="00F40927"/>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19E"/>
    <w:rsid w:val="00F57877"/>
    <w:rsid w:val="00F60934"/>
    <w:rsid w:val="00F60991"/>
    <w:rsid w:val="00F60AD8"/>
    <w:rsid w:val="00F60B77"/>
    <w:rsid w:val="00F60BE9"/>
    <w:rsid w:val="00F60CCE"/>
    <w:rsid w:val="00F61191"/>
    <w:rsid w:val="00F61671"/>
    <w:rsid w:val="00F61D42"/>
    <w:rsid w:val="00F61F72"/>
    <w:rsid w:val="00F61FD8"/>
    <w:rsid w:val="00F6212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68A"/>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3875"/>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2E1F"/>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74C"/>
    <w:rsid w:val="00FF7B3A"/>
    <w:rsid w:val="46333D64"/>
    <w:rsid w:val="76633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5"/>
    <w:qFormat/>
    <w:uiPriority w:val="0"/>
    <w:pPr>
      <w:keepNext/>
      <w:numPr>
        <w:ilvl w:val="0"/>
        <w:numId w:val="1"/>
      </w:numPr>
      <w:spacing w:before="120"/>
      <w:outlineLvl w:val="0"/>
    </w:pPr>
    <w:rPr>
      <w:b/>
      <w:bCs/>
      <w:sz w:val="28"/>
      <w:szCs w:val="28"/>
    </w:rPr>
  </w:style>
  <w:style w:type="paragraph" w:styleId="3">
    <w:name w:val="heading 2"/>
    <w:basedOn w:val="1"/>
    <w:next w:val="1"/>
    <w:link w:val="54"/>
    <w:qFormat/>
    <w:uiPriority w:val="0"/>
    <w:pPr>
      <w:keepNext/>
      <w:numPr>
        <w:ilvl w:val="1"/>
        <w:numId w:val="1"/>
      </w:numPr>
      <w:spacing w:before="120"/>
      <w:outlineLvl w:val="1"/>
    </w:pPr>
    <w:rPr>
      <w:b/>
      <w:bCs/>
      <w:sz w:val="24"/>
    </w:rPr>
  </w:style>
  <w:style w:type="paragraph" w:styleId="4">
    <w:name w:val="heading 3"/>
    <w:basedOn w:val="1"/>
    <w:next w:val="1"/>
    <w:link w:val="56"/>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33"/>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5"/>
    <w:unhideWhenUsed/>
    <w:qFormat/>
    <w:uiPriority w:val="0"/>
    <w:pPr>
      <w:jc w:val="left"/>
    </w:pPr>
  </w:style>
  <w:style w:type="paragraph" w:styleId="15">
    <w:name w:val="Body Text"/>
    <w:basedOn w:val="1"/>
    <w:link w:val="32"/>
    <w:qFormat/>
    <w:uiPriority w:val="0"/>
    <w:rPr>
      <w:sz w:val="20"/>
      <w:szCs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link w:val="40"/>
    <w:qFormat/>
    <w:uiPriority w:val="0"/>
    <w:pPr>
      <w:tabs>
        <w:tab w:val="center" w:pos="4680"/>
        <w:tab w:val="right" w:pos="9360"/>
      </w:tabs>
    </w:pPr>
  </w:style>
  <w:style w:type="paragraph" w:styleId="18">
    <w:name w:val="header"/>
    <w:basedOn w:val="1"/>
    <w:link w:val="39"/>
    <w:qFormat/>
    <w:uiPriority w:val="0"/>
    <w:pPr>
      <w:tabs>
        <w:tab w:val="center" w:pos="4680"/>
        <w:tab w:val="right" w:pos="9360"/>
      </w:tabs>
    </w:pPr>
  </w:style>
  <w:style w:type="paragraph" w:styleId="19">
    <w:name w:val="Subtitle"/>
    <w:basedOn w:val="1"/>
    <w:next w:val="1"/>
    <w:link w:val="59"/>
    <w:qFormat/>
    <w:uiPriority w:val="0"/>
    <w:pPr>
      <w:autoSpaceDE/>
      <w:autoSpaceDN/>
      <w:adjustRightInd/>
      <w:snapToGrid/>
      <w:spacing w:after="180" w:line="256" w:lineRule="auto"/>
      <w:ind w:left="284" w:hanging="284"/>
      <w:jc w:val="left"/>
    </w:pPr>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paragraph" w:styleId="20">
    <w:name w:val="footnote text"/>
    <w:basedOn w:val="1"/>
    <w:semiHidden/>
    <w:qFormat/>
    <w:uiPriority w:val="0"/>
    <w:rPr>
      <w:sz w:val="20"/>
      <w:szCs w:val="20"/>
    </w:rPr>
  </w:style>
  <w:style w:type="paragraph" w:styleId="21">
    <w:name w:val="Body Text 2"/>
    <w:basedOn w:val="1"/>
    <w:qFormat/>
    <w:uiPriority w:val="0"/>
    <w:pPr>
      <w:spacing w:after="0"/>
      <w:jc w:val="left"/>
    </w:pPr>
    <w:rPr>
      <w:szCs w:val="20"/>
    </w:rPr>
  </w:style>
  <w:style w:type="paragraph" w:styleId="22">
    <w:name w:val="Normal (Web)"/>
    <w:basedOn w:val="1"/>
    <w:semiHidden/>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3">
    <w:name w:val="annotation subject"/>
    <w:basedOn w:val="14"/>
    <w:next w:val="14"/>
    <w:link w:val="46"/>
    <w:semiHidden/>
    <w:unhideWhenUsed/>
    <w:qFormat/>
    <w:uiPriority w:val="0"/>
    <w:rPr>
      <w:b/>
      <w:bCs/>
    </w:rPr>
  </w:style>
  <w:style w:type="table" w:styleId="25">
    <w:name w:val="Table Grid"/>
    <w:basedOn w:val="24"/>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bCs/>
    </w:rPr>
  </w:style>
  <w:style w:type="character" w:styleId="28">
    <w:name w:val="FollowedHyperlink"/>
    <w:basedOn w:val="26"/>
    <w:qFormat/>
    <w:uiPriority w:val="0"/>
    <w:rPr>
      <w:color w:val="800080"/>
      <w:u w:val="single"/>
    </w:rPr>
  </w:style>
  <w:style w:type="character" w:styleId="29">
    <w:name w:val="Hyperlink"/>
    <w:basedOn w:val="26"/>
    <w:qFormat/>
    <w:uiPriority w:val="0"/>
    <w:rPr>
      <w:color w:val="0000FF"/>
      <w:u w:val="single"/>
    </w:rPr>
  </w:style>
  <w:style w:type="character" w:styleId="30">
    <w:name w:val="annotation reference"/>
    <w:basedOn w:val="26"/>
    <w:unhideWhenUsed/>
    <w:qFormat/>
    <w:uiPriority w:val="99"/>
    <w:rPr>
      <w:sz w:val="21"/>
      <w:szCs w:val="21"/>
    </w:rPr>
  </w:style>
  <w:style w:type="character" w:styleId="31">
    <w:name w:val="footnote reference"/>
    <w:basedOn w:val="26"/>
    <w:semiHidden/>
    <w:qFormat/>
    <w:uiPriority w:val="0"/>
    <w:rPr>
      <w:vertAlign w:val="superscript"/>
    </w:rPr>
  </w:style>
  <w:style w:type="character" w:customStyle="1" w:styleId="32">
    <w:name w:val="正文文本 字符"/>
    <w:basedOn w:val="26"/>
    <w:link w:val="15"/>
    <w:qFormat/>
    <w:uiPriority w:val="0"/>
  </w:style>
  <w:style w:type="character" w:customStyle="1" w:styleId="33">
    <w:name w:val="题注 字符"/>
    <w:basedOn w:val="26"/>
    <w:link w:val="11"/>
    <w:qFormat/>
    <w:uiPriority w:val="0"/>
    <w:rPr>
      <w:b/>
      <w:bCs/>
    </w:rPr>
  </w:style>
  <w:style w:type="paragraph" w:customStyle="1" w:styleId="34">
    <w:name w:val="References"/>
    <w:basedOn w:val="1"/>
    <w:qFormat/>
    <w:uiPriority w:val="0"/>
    <w:pPr>
      <w:numPr>
        <w:ilvl w:val="0"/>
        <w:numId w:val="2"/>
      </w:numPr>
      <w:adjustRightInd/>
      <w:spacing w:after="60"/>
    </w:pPr>
    <w:rPr>
      <w:sz w:val="20"/>
      <w:szCs w:val="16"/>
    </w:rPr>
  </w:style>
  <w:style w:type="paragraph" w:customStyle="1" w:styleId="35">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6">
    <w:name w:val="Figure"/>
    <w:basedOn w:val="1"/>
    <w:qFormat/>
    <w:uiPriority w:val="0"/>
    <w:pPr>
      <w:keepNext/>
      <w:jc w:val="center"/>
    </w:pPr>
  </w:style>
  <w:style w:type="paragraph" w:customStyle="1" w:styleId="37">
    <w:name w:val="Eqn"/>
    <w:basedOn w:val="1"/>
    <w:qFormat/>
    <w:uiPriority w:val="0"/>
    <w:pPr>
      <w:tabs>
        <w:tab w:val="center" w:pos="4608"/>
        <w:tab w:val="right" w:pos="9216"/>
      </w:tabs>
    </w:pPr>
    <w:rPr>
      <w:lang w:eastAsia="ja-JP"/>
    </w:rPr>
  </w:style>
  <w:style w:type="paragraph" w:customStyle="1" w:styleId="38">
    <w:name w:val="tablecell"/>
    <w:basedOn w:val="1"/>
    <w:qFormat/>
    <w:uiPriority w:val="0"/>
    <w:pPr>
      <w:spacing w:before="20" w:after="20"/>
      <w:jc w:val="left"/>
    </w:pPr>
  </w:style>
  <w:style w:type="character" w:customStyle="1" w:styleId="39">
    <w:name w:val="页眉 字符"/>
    <w:basedOn w:val="26"/>
    <w:link w:val="18"/>
    <w:qFormat/>
    <w:uiPriority w:val="0"/>
    <w:rPr>
      <w:sz w:val="22"/>
      <w:szCs w:val="22"/>
    </w:rPr>
  </w:style>
  <w:style w:type="character" w:customStyle="1" w:styleId="40">
    <w:name w:val="页脚 字符"/>
    <w:basedOn w:val="26"/>
    <w:link w:val="17"/>
    <w:qFormat/>
    <w:uiPriority w:val="0"/>
    <w:rPr>
      <w:sz w:val="22"/>
      <w:szCs w:val="22"/>
    </w:rPr>
  </w:style>
  <w:style w:type="paragraph" w:customStyle="1" w:styleId="41">
    <w:name w:val="tablecol"/>
    <w:basedOn w:val="38"/>
    <w:qFormat/>
    <w:uiPriority w:val="0"/>
    <w:pPr>
      <w:jc w:val="center"/>
    </w:pPr>
    <w:rPr>
      <w:b/>
    </w:rPr>
  </w:style>
  <w:style w:type="paragraph" w:styleId="42">
    <w:name w:val="Intense Quote"/>
    <w:basedOn w:val="1"/>
    <w:next w:val="1"/>
    <w:link w:val="43"/>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43">
    <w:name w:val="明显引用 字符"/>
    <w:basedOn w:val="26"/>
    <w:link w:val="42"/>
    <w:qFormat/>
    <w:uiPriority w:val="30"/>
    <w:rPr>
      <w:i/>
      <w:iCs/>
      <w:color w:val="4F81BD" w:themeColor="accent1"/>
      <w:sz w:val="22"/>
      <w:szCs w:val="22"/>
      <w14:textFill>
        <w14:solidFill>
          <w14:schemeClr w14:val="accent1"/>
        </w14:solidFill>
      </w14:textFill>
    </w:rPr>
  </w:style>
  <w:style w:type="paragraph" w:customStyle="1" w:styleId="44">
    <w:name w:val="Title Text"/>
    <w:basedOn w:val="1"/>
    <w:next w:val="1"/>
    <w:qFormat/>
    <w:uiPriority w:val="0"/>
    <w:pPr>
      <w:autoSpaceDE/>
      <w:autoSpaceDN/>
      <w:adjustRightInd/>
      <w:snapToGrid/>
      <w:spacing w:after="220"/>
      <w:jc w:val="left"/>
    </w:pPr>
    <w:rPr>
      <w:rFonts w:ascii="Arial" w:hAnsi="Arial" w:eastAsia="MS Gothic"/>
      <w:b/>
      <w:szCs w:val="24"/>
      <w:lang w:val="en-GB"/>
    </w:rPr>
  </w:style>
  <w:style w:type="character" w:customStyle="1" w:styleId="45">
    <w:name w:val="批注文字 字符"/>
    <w:basedOn w:val="26"/>
    <w:link w:val="14"/>
    <w:qFormat/>
    <w:uiPriority w:val="0"/>
    <w:rPr>
      <w:sz w:val="22"/>
      <w:szCs w:val="22"/>
    </w:rPr>
  </w:style>
  <w:style w:type="character" w:customStyle="1" w:styleId="46">
    <w:name w:val="批注主题 字符"/>
    <w:basedOn w:val="45"/>
    <w:link w:val="23"/>
    <w:semiHidden/>
    <w:qFormat/>
    <w:uiPriority w:val="0"/>
    <w:rPr>
      <w:b/>
      <w:bCs/>
      <w:sz w:val="22"/>
      <w:szCs w:val="22"/>
    </w:rPr>
  </w:style>
  <w:style w:type="paragraph" w:styleId="47">
    <w:name w:val="List Paragraph"/>
    <w:basedOn w:val="1"/>
    <w:link w:val="48"/>
    <w:qFormat/>
    <w:uiPriority w:val="34"/>
    <w:pPr>
      <w:overflowPunct w:val="0"/>
      <w:snapToGrid/>
      <w:spacing w:after="180"/>
      <w:ind w:left="720"/>
      <w:contextualSpacing/>
      <w:jc w:val="left"/>
      <w:textAlignment w:val="baseline"/>
    </w:pPr>
    <w:rPr>
      <w:sz w:val="20"/>
      <w:szCs w:val="20"/>
      <w:lang w:val="en-GB" w:eastAsia="ja-JP"/>
    </w:rPr>
  </w:style>
  <w:style w:type="character" w:customStyle="1" w:styleId="48">
    <w:name w:val="列表段落 字符"/>
    <w:link w:val="47"/>
    <w:qFormat/>
    <w:locked/>
    <w:uiPriority w:val="34"/>
    <w:rPr>
      <w:lang w:val="en-GB" w:eastAsia="ja-JP"/>
    </w:rPr>
  </w:style>
  <w:style w:type="paragraph" w:customStyle="1" w:styleId="49">
    <w:name w:val="LGTdoc_본문"/>
    <w:basedOn w:val="1"/>
    <w:link w:val="50"/>
    <w:qFormat/>
    <w:uiPriority w:val="0"/>
    <w:pPr>
      <w:widowControl w:val="0"/>
      <w:spacing w:afterLines="50" w:line="264" w:lineRule="auto"/>
    </w:pPr>
    <w:rPr>
      <w:rFonts w:eastAsia="Batang"/>
      <w:kern w:val="2"/>
      <w:szCs w:val="24"/>
      <w:lang w:val="en-GB" w:eastAsia="ko-KR"/>
    </w:rPr>
  </w:style>
  <w:style w:type="character" w:customStyle="1" w:styleId="50">
    <w:name w:val="LGTdoc_본문 Char"/>
    <w:link w:val="49"/>
    <w:qFormat/>
    <w:uiPriority w:val="0"/>
    <w:rPr>
      <w:rFonts w:eastAsia="Batang"/>
      <w:kern w:val="2"/>
      <w:sz w:val="22"/>
      <w:szCs w:val="24"/>
      <w:lang w:val="en-GB" w:eastAsia="ko-KR"/>
    </w:rPr>
  </w:style>
  <w:style w:type="paragraph" w:styleId="51">
    <w:name w:val="Quote"/>
    <w:basedOn w:val="1"/>
    <w:next w:val="1"/>
    <w:link w:val="5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2">
    <w:name w:val="引用 字符"/>
    <w:basedOn w:val="26"/>
    <w:link w:val="51"/>
    <w:qFormat/>
    <w:uiPriority w:val="29"/>
    <w:rPr>
      <w:i/>
      <w:iCs/>
      <w:color w:val="404040" w:themeColor="text1" w:themeTint="BF"/>
      <w:sz w:val="22"/>
      <w:szCs w:val="22"/>
      <w14:textFill>
        <w14:solidFill>
          <w14:schemeClr w14:val="tx1">
            <w14:lumMod w14:val="75000"/>
            <w14:lumOff w14:val="25000"/>
          </w14:schemeClr>
        </w14:solidFill>
      </w14:textFill>
    </w:rPr>
  </w:style>
  <w:style w:type="character" w:customStyle="1" w:styleId="53">
    <w:name w:val="Book Title"/>
    <w:basedOn w:val="26"/>
    <w:qFormat/>
    <w:uiPriority w:val="33"/>
    <w:rPr>
      <w:b/>
      <w:bCs/>
      <w:i/>
      <w:iCs/>
      <w:spacing w:val="5"/>
    </w:rPr>
  </w:style>
  <w:style w:type="character" w:customStyle="1" w:styleId="54">
    <w:name w:val="标题 2 字符"/>
    <w:basedOn w:val="26"/>
    <w:link w:val="3"/>
    <w:qFormat/>
    <w:uiPriority w:val="0"/>
    <w:rPr>
      <w:b/>
      <w:bCs/>
      <w:sz w:val="24"/>
      <w:szCs w:val="22"/>
    </w:rPr>
  </w:style>
  <w:style w:type="character" w:customStyle="1" w:styleId="55">
    <w:name w:val="标题 1 字符"/>
    <w:basedOn w:val="26"/>
    <w:link w:val="2"/>
    <w:qFormat/>
    <w:uiPriority w:val="0"/>
    <w:rPr>
      <w:b/>
      <w:bCs/>
      <w:sz w:val="28"/>
      <w:szCs w:val="28"/>
    </w:rPr>
  </w:style>
  <w:style w:type="character" w:customStyle="1" w:styleId="56">
    <w:name w:val="标题 3 字符"/>
    <w:basedOn w:val="26"/>
    <w:link w:val="4"/>
    <w:qFormat/>
    <w:uiPriority w:val="0"/>
    <w:rPr>
      <w:b/>
      <w:sz w:val="22"/>
      <w:szCs w:val="22"/>
    </w:rPr>
  </w:style>
  <w:style w:type="paragraph" w:customStyle="1" w:styleId="57">
    <w:name w:val="3GPP Agreements"/>
    <w:basedOn w:val="1"/>
    <w:link w:val="58"/>
    <w:qFormat/>
    <w:uiPriority w:val="0"/>
    <w:pPr>
      <w:numPr>
        <w:ilvl w:val="0"/>
        <w:numId w:val="3"/>
      </w:numPr>
      <w:overflowPunct w:val="0"/>
      <w:snapToGrid/>
      <w:spacing w:before="60" w:after="60" w:line="259" w:lineRule="auto"/>
      <w:textAlignment w:val="baseline"/>
    </w:pPr>
    <w:rPr>
      <w:sz w:val="20"/>
      <w:szCs w:val="20"/>
      <w:lang w:eastAsia="zh-CN"/>
    </w:rPr>
  </w:style>
  <w:style w:type="character" w:customStyle="1" w:styleId="58">
    <w:name w:val="3GPP Agreements Char"/>
    <w:link w:val="57"/>
    <w:qFormat/>
    <w:uiPriority w:val="0"/>
    <w:rPr>
      <w:lang w:eastAsia="zh-CN"/>
    </w:rPr>
  </w:style>
  <w:style w:type="character" w:customStyle="1" w:styleId="59">
    <w:name w:val="副标题 字符"/>
    <w:basedOn w:val="26"/>
    <w:link w:val="19"/>
    <w:qFormat/>
    <w:uiPriority w:val="0"/>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character" w:styleId="60">
    <w:name w:val="Placeholder Text"/>
    <w:basedOn w:val="26"/>
    <w:semiHidden/>
    <w:qFormat/>
    <w:uiPriority w:val="99"/>
    <w:rPr>
      <w:color w:val="808080"/>
    </w:rPr>
  </w:style>
  <w:style w:type="paragraph" w:customStyle="1" w:styleId="61">
    <w:name w:val="Revision"/>
    <w:hidden/>
    <w:semiHidden/>
    <w:qFormat/>
    <w:uiPriority w:val="99"/>
    <w:rPr>
      <w:rFonts w:ascii="Times New Roman" w:hAnsi="Times New Roman" w:eastAsia="宋体" w:cs="Times New Roman"/>
      <w:sz w:val="22"/>
      <w:szCs w:val="22"/>
      <w:lang w:val="en-US" w:eastAsia="en-US" w:bidi="ar-SA"/>
    </w:rPr>
  </w:style>
  <w:style w:type="paragraph" w:customStyle="1" w:styleId="62">
    <w:name w:val="text intend 2"/>
    <w:basedOn w:val="1"/>
    <w:qFormat/>
    <w:uiPriority w:val="0"/>
    <w:pPr>
      <w:numPr>
        <w:ilvl w:val="0"/>
        <w:numId w:val="4"/>
      </w:numPr>
      <w:overflowPunct w:val="0"/>
      <w:snapToGrid/>
      <w:textAlignment w:val="baseline"/>
    </w:pPr>
    <w:rPr>
      <w:rFonts w:eastAsia="MS Mincho"/>
      <w:sz w:val="24"/>
      <w:szCs w:val="20"/>
      <w:lang w:eastAsia="en-GB"/>
    </w:rPr>
  </w:style>
  <w:style w:type="paragraph" w:customStyle="1" w:styleId="63">
    <w:name w:val="B1"/>
    <w:basedOn w:val="1"/>
    <w:link w:val="64"/>
    <w:qFormat/>
    <w:uiPriority w:val="0"/>
    <w:pPr>
      <w:autoSpaceDE/>
      <w:autoSpaceDN/>
      <w:adjustRightInd/>
      <w:snapToGrid/>
      <w:spacing w:after="180"/>
      <w:ind w:left="568" w:hanging="284"/>
      <w:jc w:val="left"/>
    </w:pPr>
    <w:rPr>
      <w:sz w:val="20"/>
      <w:szCs w:val="20"/>
      <w:lang w:val="zh-CN"/>
    </w:rPr>
  </w:style>
  <w:style w:type="character" w:customStyle="1" w:styleId="64">
    <w:name w:val="B1 Zchn"/>
    <w:link w:val="63"/>
    <w:qFormat/>
    <w:uiPriority w:val="0"/>
    <w:rPr>
      <w:lang w:val="zh-CN"/>
    </w:rPr>
  </w:style>
  <w:style w:type="paragraph" w:customStyle="1" w:styleId="65">
    <w:name w:val="TAH"/>
    <w:basedOn w:val="66"/>
    <w:link w:val="68"/>
    <w:qFormat/>
    <w:uiPriority w:val="0"/>
    <w:rPr>
      <w:b/>
    </w:rPr>
  </w:style>
  <w:style w:type="paragraph" w:customStyle="1" w:styleId="66">
    <w:name w:val="TAC"/>
    <w:basedOn w:val="1"/>
    <w:link w:val="67"/>
    <w:qFormat/>
    <w:uiPriority w:val="0"/>
    <w:pPr>
      <w:keepNext/>
      <w:keepLines/>
      <w:autoSpaceDE/>
      <w:autoSpaceDN/>
      <w:adjustRightInd/>
      <w:snapToGrid/>
      <w:spacing w:after="0"/>
      <w:jc w:val="center"/>
    </w:pPr>
    <w:rPr>
      <w:rFonts w:ascii="Arial" w:hAnsi="Arial"/>
      <w:sz w:val="18"/>
      <w:szCs w:val="20"/>
      <w:lang w:val="zh-CN"/>
    </w:rPr>
  </w:style>
  <w:style w:type="character" w:customStyle="1" w:styleId="67">
    <w:name w:val="TAC Char"/>
    <w:link w:val="66"/>
    <w:qFormat/>
    <w:locked/>
    <w:uiPriority w:val="0"/>
    <w:rPr>
      <w:rFonts w:ascii="Arial" w:hAnsi="Arial"/>
      <w:sz w:val="18"/>
      <w:lang w:val="zh-CN"/>
    </w:rPr>
  </w:style>
  <w:style w:type="character" w:customStyle="1" w:styleId="68">
    <w:name w:val="TAH Car"/>
    <w:link w:val="65"/>
    <w:qFormat/>
    <w:uiPriority w:val="0"/>
    <w:rPr>
      <w:rFonts w:ascii="Arial" w:hAnsi="Arial"/>
      <w:b/>
      <w:sz w:val="18"/>
      <w:lang w:val="zh-CN"/>
    </w:rPr>
  </w:style>
  <w:style w:type="paragraph" w:customStyle="1" w:styleId="69">
    <w:name w:val="TH"/>
    <w:basedOn w:val="1"/>
    <w:link w:val="70"/>
    <w:qFormat/>
    <w:uiPriority w:val="0"/>
    <w:pPr>
      <w:keepNext/>
      <w:keepLines/>
      <w:autoSpaceDE/>
      <w:autoSpaceDN/>
      <w:adjustRightInd/>
      <w:snapToGrid/>
      <w:spacing w:before="60" w:after="180"/>
      <w:jc w:val="center"/>
    </w:pPr>
    <w:rPr>
      <w:rFonts w:ascii="Arial" w:hAnsi="Arial" w:eastAsiaTheme="minorEastAsia"/>
      <w:b/>
      <w:sz w:val="20"/>
      <w:szCs w:val="20"/>
      <w:lang w:val="zh-CN"/>
    </w:rPr>
  </w:style>
  <w:style w:type="character" w:customStyle="1" w:styleId="70">
    <w:name w:val="TH Char"/>
    <w:link w:val="69"/>
    <w:qFormat/>
    <w:uiPriority w:val="0"/>
    <w:rPr>
      <w:rFonts w:ascii="Arial" w:hAnsi="Arial" w:eastAsiaTheme="minorEastAsia"/>
      <w:b/>
      <w:lang w:val="zh-CN"/>
    </w:rPr>
  </w:style>
  <w:style w:type="character" w:customStyle="1" w:styleId="71">
    <w:name w:val="TAL Car"/>
    <w:basedOn w:val="26"/>
    <w:link w:val="72"/>
    <w:qFormat/>
    <w:locked/>
    <w:uiPriority w:val="0"/>
    <w:rPr>
      <w:rFonts w:ascii="Arial" w:hAnsi="Arial" w:eastAsia="Times New Roman" w:cs="Arial"/>
      <w:sz w:val="18"/>
      <w:lang w:eastAsia="ja-JP"/>
    </w:rPr>
  </w:style>
  <w:style w:type="paragraph" w:customStyle="1" w:styleId="72">
    <w:name w:val="TAL"/>
    <w:basedOn w:val="1"/>
    <w:link w:val="71"/>
    <w:qFormat/>
    <w:uiPriority w:val="0"/>
    <w:pPr>
      <w:keepNext/>
      <w:keepLines/>
      <w:overflowPunct w:val="0"/>
      <w:snapToGrid/>
      <w:spacing w:after="0"/>
      <w:jc w:val="left"/>
    </w:pPr>
    <w:rPr>
      <w:rFonts w:ascii="Arial" w:hAnsi="Arial" w:eastAsia="Times New Roman" w:cs="Arial"/>
      <w:sz w:val="18"/>
      <w:szCs w:val="20"/>
      <w:lang w:eastAsia="ja-JP"/>
    </w:rPr>
  </w:style>
  <w:style w:type="character" w:customStyle="1" w:styleId="73">
    <w:name w:val="B1 Char"/>
    <w:qFormat/>
    <w:locked/>
    <w:uiPriority w:val="0"/>
    <w:rPr>
      <w:rFonts w:ascii="Times New Roman" w:hAnsi="Times New Roman"/>
      <w:lang w:val="en-GB" w:eastAsia="en-US"/>
    </w:rPr>
  </w:style>
  <w:style w:type="paragraph" w:customStyle="1" w:styleId="74">
    <w:name w:val="Agreement"/>
    <w:basedOn w:val="1"/>
    <w:next w:val="1"/>
    <w:qFormat/>
    <w:uiPriority w:val="99"/>
    <w:pPr>
      <w:numPr>
        <w:ilvl w:val="0"/>
        <w:numId w:val="5"/>
      </w:numPr>
      <w:autoSpaceDE/>
      <w:autoSpaceDN/>
      <w:adjustRightInd/>
      <w:snapToGrid/>
      <w:spacing w:before="60" w:after="0"/>
      <w:jc w:val="left"/>
    </w:pPr>
    <w:rPr>
      <w:rFonts w:ascii="Arial" w:hAnsi="Arial" w:eastAsia="MS Mincho"/>
      <w:b/>
      <w:sz w:val="20"/>
      <w:szCs w:val="24"/>
      <w:lang w:val="en-GB" w:eastAsia="en-GB"/>
    </w:rPr>
  </w:style>
  <w:style w:type="character" w:customStyle="1" w:styleId="75">
    <w:name w:val="B1 Char1"/>
    <w:qFormat/>
    <w:uiPriority w:val="0"/>
    <w:rPr>
      <w:rFonts w:eastAsia="MS Mincho"/>
    </w:rPr>
  </w:style>
  <w:style w:type="paragraph" w:customStyle="1" w:styleId="76">
    <w:name w:val="Doc-text2"/>
    <w:basedOn w:val="1"/>
    <w:link w:val="77"/>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77">
    <w:name w:val="Doc-text2 Char"/>
    <w:link w:val="76"/>
    <w:qFormat/>
    <w:uiPriority w:val="0"/>
    <w:rPr>
      <w:rFonts w:ascii="Arial" w:hAnsi="Arial" w:eastAsia="MS Mincho"/>
      <w:szCs w:val="24"/>
      <w:lang w:val="en-GB" w:eastAsia="en-GB"/>
    </w:rPr>
  </w:style>
  <w:style w:type="paragraph" w:customStyle="1" w:styleId="78">
    <w:name w:val="B2"/>
    <w:basedOn w:val="1"/>
    <w:link w:val="79"/>
    <w:qFormat/>
    <w:uiPriority w:val="0"/>
    <w:pPr>
      <w:autoSpaceDE/>
      <w:autoSpaceDN/>
      <w:adjustRightInd/>
      <w:snapToGrid/>
      <w:spacing w:after="180"/>
      <w:ind w:left="851" w:hanging="284"/>
      <w:jc w:val="left"/>
    </w:pPr>
    <w:rPr>
      <w:sz w:val="20"/>
      <w:szCs w:val="20"/>
      <w:lang w:val="zh-CN"/>
    </w:rPr>
  </w:style>
  <w:style w:type="character" w:customStyle="1" w:styleId="79">
    <w:name w:val="B2 Char"/>
    <w:link w:val="78"/>
    <w:qFormat/>
    <w:uiPriority w:val="0"/>
    <w:rPr>
      <w:lang w:val="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C95E1D-9782-4ACD-A59B-B9A7E80478FC}">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3</Pages>
  <Words>938</Words>
  <Characters>5350</Characters>
  <Lines>44</Lines>
  <Paragraphs>12</Paragraphs>
  <TotalTime>5617</TotalTime>
  <ScaleCrop>false</ScaleCrop>
  <LinksUpToDate>false</LinksUpToDate>
  <CharactersWithSpaces>6276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2022-10-24T10:51:00Z</dcterms:created>
  <dc:creator>ZTE, tao</dc:creator>
  <cp:lastModifiedBy>ZTE, tao</cp:lastModifiedBy>
  <cp:lastPrinted>2007-06-18T22:08:00Z</cp:lastPrinted>
  <dcterms:modified xsi:type="dcterms:W3CDTF">2023-05-17T00:49:41Z</dcterms:modified>
  <cp:revision>523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1684120512</vt:lpwstr>
  </property>
  <property fmtid="{D5CDD505-2E9C-101B-9397-08002B2CF9AE}" pid="22" name="KSOProductBuildVer">
    <vt:lpwstr>2052-11.8.2.9022</vt:lpwstr>
  </property>
</Properties>
</file>